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D8A65E" w14:textId="63A1D93E" w:rsidR="00E35B30" w:rsidRPr="00BA784D" w:rsidRDefault="0036612A">
      <w:pPr>
        <w:spacing w:line="360" w:lineRule="auto"/>
        <w:rPr>
          <w:rFonts w:ascii="Times New Roman" w:eastAsia="Times New Roman" w:hAnsi="Times New Roman" w:cs="Times New Roman"/>
          <w:sz w:val="24"/>
          <w:szCs w:val="24"/>
        </w:rPr>
      </w:pPr>
      <w:r w:rsidRPr="00BA784D">
        <w:rPr>
          <w:noProof/>
        </w:rPr>
        <w:drawing>
          <wp:anchor distT="0" distB="0" distL="0" distR="0" simplePos="0" relativeHeight="251658240" behindDoc="1" locked="0" layoutInCell="1" hidden="0" allowOverlap="1" wp14:anchorId="3E749C17" wp14:editId="1A94E624">
            <wp:simplePos x="0" y="0"/>
            <wp:positionH relativeFrom="column">
              <wp:posOffset>-2166617</wp:posOffset>
            </wp:positionH>
            <wp:positionV relativeFrom="paragraph">
              <wp:posOffset>-956942</wp:posOffset>
            </wp:positionV>
            <wp:extent cx="8935058" cy="12340289"/>
            <wp:effectExtent l="0" t="0" r="0" b="0"/>
            <wp:wrapNone/>
            <wp:docPr id="84" name="image1.jpg" descr="A picture containing text,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 outdoor&#10;&#10;Description automatically generated"/>
                    <pic:cNvPicPr preferRelativeResize="0"/>
                  </pic:nvPicPr>
                  <pic:blipFill>
                    <a:blip r:embed="rId9"/>
                    <a:srcRect/>
                    <a:stretch>
                      <a:fillRect/>
                    </a:stretch>
                  </pic:blipFill>
                  <pic:spPr>
                    <a:xfrm>
                      <a:off x="0" y="0"/>
                      <a:ext cx="8935058" cy="12340289"/>
                    </a:xfrm>
                    <a:prstGeom prst="rect">
                      <a:avLst/>
                    </a:prstGeom>
                    <a:ln/>
                  </pic:spPr>
                </pic:pic>
              </a:graphicData>
            </a:graphic>
          </wp:anchor>
        </w:drawing>
      </w:r>
    </w:p>
    <w:p w14:paraId="687351B1" w14:textId="77777777" w:rsidR="00E35B30" w:rsidRPr="00BA784D" w:rsidRDefault="00E35B30">
      <w:pPr>
        <w:spacing w:line="360" w:lineRule="auto"/>
        <w:rPr>
          <w:rFonts w:ascii="Times New Roman" w:eastAsia="Times New Roman" w:hAnsi="Times New Roman" w:cs="Times New Roman"/>
          <w:sz w:val="24"/>
          <w:szCs w:val="24"/>
        </w:rPr>
      </w:pPr>
    </w:p>
    <w:p w14:paraId="2B11E292" w14:textId="77777777" w:rsidR="00E35B30" w:rsidRPr="00BA784D" w:rsidRDefault="0036612A">
      <w:pPr>
        <w:spacing w:line="360" w:lineRule="auto"/>
        <w:rPr>
          <w:rFonts w:ascii="Times New Roman" w:eastAsia="Times New Roman" w:hAnsi="Times New Roman" w:cs="Times New Roman"/>
          <w:b/>
          <w:sz w:val="24"/>
          <w:szCs w:val="24"/>
        </w:rPr>
      </w:pPr>
      <w:r w:rsidRPr="00BA784D">
        <w:br w:type="page"/>
      </w:r>
      <w:r w:rsidRPr="00BA784D">
        <w:rPr>
          <w:noProof/>
        </w:rPr>
        <mc:AlternateContent>
          <mc:Choice Requires="wps">
            <w:drawing>
              <wp:anchor distT="0" distB="0" distL="114300" distR="114300" simplePos="0" relativeHeight="251659264" behindDoc="0" locked="0" layoutInCell="1" hidden="0" allowOverlap="1" wp14:anchorId="5D4DA701" wp14:editId="070CA67C">
                <wp:simplePos x="0" y="0"/>
                <wp:positionH relativeFrom="column">
                  <wp:posOffset>-596899</wp:posOffset>
                </wp:positionH>
                <wp:positionV relativeFrom="paragraph">
                  <wp:posOffset>6159500</wp:posOffset>
                </wp:positionV>
                <wp:extent cx="5547375" cy="2735558"/>
                <wp:effectExtent l="0" t="0" r="0" b="0"/>
                <wp:wrapNone/>
                <wp:docPr id="83" name="Rectángulo 83"/>
                <wp:cNvGraphicFramePr/>
                <a:graphic xmlns:a="http://schemas.openxmlformats.org/drawingml/2006/main">
                  <a:graphicData uri="http://schemas.microsoft.com/office/word/2010/wordprocessingShape">
                    <wps:wsp>
                      <wps:cNvSpPr/>
                      <wps:spPr>
                        <a:xfrm>
                          <a:off x="2586600" y="2428200"/>
                          <a:ext cx="5518800" cy="2703600"/>
                        </a:xfrm>
                        <a:prstGeom prst="rect">
                          <a:avLst/>
                        </a:prstGeom>
                        <a:noFill/>
                        <a:ln w="9525" cap="flat" cmpd="sng">
                          <a:solidFill>
                            <a:srgbClr val="000000"/>
                          </a:solidFill>
                          <a:prstDash val="solid"/>
                          <a:round/>
                          <a:headEnd type="none" w="sm" len="sm"/>
                          <a:tailEnd type="none" w="sm" len="sm"/>
                        </a:ln>
                      </wps:spPr>
                      <wps:txbx>
                        <w:txbxContent>
                          <w:p w14:paraId="5F6D438B" w14:textId="77777777" w:rsidR="001F0B45" w:rsidRDefault="001F0B45">
                            <w:pPr>
                              <w:spacing w:before="1" w:line="360" w:lineRule="auto"/>
                              <w:jc w:val="center"/>
                              <w:textDirection w:val="btLr"/>
                            </w:pPr>
                            <w:r>
                              <w:rPr>
                                <w:rFonts w:ascii="Times New Roman" w:eastAsia="Times New Roman" w:hAnsi="Times New Roman" w:cs="Times New Roman"/>
                                <w:b/>
                                <w:color w:val="FFFFFF"/>
                                <w:sz w:val="24"/>
                              </w:rPr>
                              <w:t xml:space="preserve">Programa Nacional de Transparencia y Acceso a la Información  </w:t>
                            </w:r>
                          </w:p>
                          <w:p w14:paraId="7DC52028" w14:textId="7AD4DAD1" w:rsidR="001F0B45" w:rsidRDefault="001F0B45">
                            <w:pPr>
                              <w:jc w:val="center"/>
                              <w:textDirection w:val="btLr"/>
                            </w:pPr>
                            <w:r>
                              <w:rPr>
                                <w:rFonts w:ascii="Times New Roman" w:eastAsia="Times New Roman" w:hAnsi="Times New Roman" w:cs="Times New Roman"/>
                                <w:b/>
                                <w:color w:val="FFFFFF"/>
                                <w:sz w:val="24"/>
                              </w:rPr>
                              <w:t>(PROTAI) 2022-</w:t>
                            </w:r>
                            <w:r w:rsidRPr="00BA784D">
                              <w:rPr>
                                <w:rFonts w:ascii="Times New Roman" w:eastAsia="Times New Roman" w:hAnsi="Times New Roman" w:cs="Times New Roman"/>
                                <w:b/>
                                <w:color w:val="FFFFFF"/>
                                <w:sz w:val="24"/>
                              </w:rPr>
                              <w:t>2026</w:t>
                            </w:r>
                          </w:p>
                          <w:p w14:paraId="6A185041" w14:textId="77777777" w:rsidR="001F0B45" w:rsidRDefault="001F0B45">
                            <w:pPr>
                              <w:jc w:val="center"/>
                              <w:textDirection w:val="btLr"/>
                            </w:pPr>
                          </w:p>
                          <w:p w14:paraId="3E007202" w14:textId="77777777" w:rsidR="001F0B45" w:rsidRDefault="001F0B45">
                            <w:pPr>
                              <w:jc w:val="center"/>
                              <w:textDirection w:val="btLr"/>
                            </w:pPr>
                            <w:r>
                              <w:rPr>
                                <w:rFonts w:ascii="Times New Roman" w:eastAsia="Times New Roman" w:hAnsi="Times New Roman" w:cs="Times New Roman"/>
                                <w:b/>
                                <w:color w:val="FFFFFF"/>
                                <w:sz w:val="24"/>
                              </w:rPr>
                              <w:t>Líderes del Proyecto</w:t>
                            </w:r>
                          </w:p>
                          <w:p w14:paraId="32229E21" w14:textId="77777777" w:rsidR="001F0B45" w:rsidRDefault="001F0B45">
                            <w:pPr>
                              <w:jc w:val="center"/>
                              <w:textDirection w:val="btLr"/>
                            </w:pPr>
                            <w:r>
                              <w:rPr>
                                <w:rFonts w:ascii="Times New Roman" w:eastAsia="Times New Roman" w:hAnsi="Times New Roman" w:cs="Times New Roman"/>
                                <w:color w:val="FFFFFF"/>
                                <w:sz w:val="24"/>
                              </w:rPr>
                              <w:t>Dra. Issa Luna Pla</w:t>
                            </w:r>
                          </w:p>
                          <w:p w14:paraId="751924F0" w14:textId="77777777" w:rsidR="001F0B45" w:rsidRDefault="001F0B45">
                            <w:pPr>
                              <w:jc w:val="center"/>
                              <w:textDirection w:val="btLr"/>
                            </w:pPr>
                            <w:r>
                              <w:rPr>
                                <w:rFonts w:ascii="Times New Roman" w:eastAsia="Times New Roman" w:hAnsi="Times New Roman" w:cs="Times New Roman"/>
                                <w:color w:val="FFFFFF"/>
                                <w:sz w:val="24"/>
                              </w:rPr>
                              <w:t>Dra. Luciana Gandini</w:t>
                            </w:r>
                          </w:p>
                          <w:p w14:paraId="60AAF9EE" w14:textId="77777777" w:rsidR="001F0B45" w:rsidRDefault="001F0B45">
                            <w:pPr>
                              <w:jc w:val="center"/>
                              <w:textDirection w:val="btLr"/>
                            </w:pPr>
                            <w:r>
                              <w:rPr>
                                <w:rFonts w:ascii="Times New Roman" w:eastAsia="Times New Roman" w:hAnsi="Times New Roman" w:cs="Times New Roman"/>
                                <w:color w:val="FFFFFF"/>
                                <w:sz w:val="24"/>
                              </w:rPr>
                              <w:t>Dr. José R. Nicolás Carlock</w:t>
                            </w:r>
                          </w:p>
                          <w:p w14:paraId="1A430B49" w14:textId="77777777" w:rsidR="001F0B45" w:rsidRDefault="001F0B45">
                            <w:pPr>
                              <w:ind w:left="2880" w:firstLine="9360"/>
                              <w:textDirection w:val="btLr"/>
                            </w:pPr>
                          </w:p>
                        </w:txbxContent>
                      </wps:txbx>
                      <wps:bodyPr spcFirstLastPara="1" wrap="square" lIns="91425" tIns="45700" rIns="91425" bIns="45700" anchor="t" anchorCtr="0">
                        <a:noAutofit/>
                      </wps:bodyPr>
                    </wps:wsp>
                  </a:graphicData>
                </a:graphic>
              </wp:anchor>
            </w:drawing>
          </mc:Choice>
          <mc:Fallback>
            <w:pict>
              <v:rect w14:anchorId="5D4DA701" id="Rectángulo 83" o:spid="_x0000_s1026" style="position:absolute;margin-left:-47pt;margin-top:485pt;width:436.8pt;height:21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" filled="f">
                <v:stroke startarrowwidth="narrow" startarrowlength="short" endarrowwidth="narrow" endarrowlength="short" joinstyle="round"/>
                <v:textbox inset="2.53958mm,1.2694mm,2.53958mm,1.2694mm">
                  <w:txbxContent>
                    <w:p w14:paraId="5F6D438B" w14:textId="77777777" w:rsidR="001F0B45" w:rsidRDefault="001F0B45">
                      <w:pPr>
                        <w:spacing w:before="1" w:line="360" w:lineRule="auto"/>
                        <w:jc w:val="center"/>
                        <w:textDirection w:val="btLr"/>
                      </w:pPr>
                      <w:r>
                        <w:rPr>
                          <w:rFonts w:ascii="Times New Roman" w:eastAsia="Times New Roman" w:hAnsi="Times New Roman" w:cs="Times New Roman"/>
                          <w:b/>
                          <w:color w:val="FFFFFF"/>
                          <w:sz w:val="24"/>
                        </w:rPr>
                        <w:t xml:space="preserve">Programa Nacional de Transparencia y Acceso a la Información  </w:t>
                      </w:r>
                    </w:p>
                    <w:p w14:paraId="7DC52028" w14:textId="7AD4DAD1" w:rsidR="001F0B45" w:rsidRDefault="001F0B45">
                      <w:pPr>
                        <w:jc w:val="center"/>
                        <w:textDirection w:val="btLr"/>
                      </w:pPr>
                      <w:r>
                        <w:rPr>
                          <w:rFonts w:ascii="Times New Roman" w:eastAsia="Times New Roman" w:hAnsi="Times New Roman" w:cs="Times New Roman"/>
                          <w:b/>
                          <w:color w:val="FFFFFF"/>
                          <w:sz w:val="24"/>
                        </w:rPr>
                        <w:t>(PROTAI) 2022-</w:t>
                      </w:r>
                      <w:r w:rsidRPr="00BA784D">
                        <w:rPr>
                          <w:rFonts w:ascii="Times New Roman" w:eastAsia="Times New Roman" w:hAnsi="Times New Roman" w:cs="Times New Roman"/>
                          <w:b/>
                          <w:color w:val="FFFFFF"/>
                          <w:sz w:val="24"/>
                        </w:rPr>
                        <w:t>2026</w:t>
                      </w:r>
                    </w:p>
                    <w:p w14:paraId="6A185041" w14:textId="77777777" w:rsidR="001F0B45" w:rsidRDefault="001F0B45">
                      <w:pPr>
                        <w:jc w:val="center"/>
                        <w:textDirection w:val="btLr"/>
                      </w:pPr>
                    </w:p>
                    <w:p w14:paraId="3E007202" w14:textId="77777777" w:rsidR="001F0B45" w:rsidRDefault="001F0B45">
                      <w:pPr>
                        <w:jc w:val="center"/>
                        <w:textDirection w:val="btLr"/>
                      </w:pPr>
                      <w:r>
                        <w:rPr>
                          <w:rFonts w:ascii="Times New Roman" w:eastAsia="Times New Roman" w:hAnsi="Times New Roman" w:cs="Times New Roman"/>
                          <w:b/>
                          <w:color w:val="FFFFFF"/>
                          <w:sz w:val="24"/>
                        </w:rPr>
                        <w:t>Líderes del Proyecto</w:t>
                      </w:r>
                    </w:p>
                    <w:p w14:paraId="32229E21" w14:textId="77777777" w:rsidR="001F0B45" w:rsidRDefault="001F0B45">
                      <w:pPr>
                        <w:jc w:val="center"/>
                        <w:textDirection w:val="btLr"/>
                      </w:pPr>
                      <w:r>
                        <w:rPr>
                          <w:rFonts w:ascii="Times New Roman" w:eastAsia="Times New Roman" w:hAnsi="Times New Roman" w:cs="Times New Roman"/>
                          <w:color w:val="FFFFFF"/>
                          <w:sz w:val="24"/>
                        </w:rPr>
                        <w:t>Dra. Issa Luna Pla</w:t>
                      </w:r>
                    </w:p>
                    <w:p w14:paraId="751924F0" w14:textId="77777777" w:rsidR="001F0B45" w:rsidRDefault="001F0B45">
                      <w:pPr>
                        <w:jc w:val="center"/>
                        <w:textDirection w:val="btLr"/>
                      </w:pPr>
                      <w:r>
                        <w:rPr>
                          <w:rFonts w:ascii="Times New Roman" w:eastAsia="Times New Roman" w:hAnsi="Times New Roman" w:cs="Times New Roman"/>
                          <w:color w:val="FFFFFF"/>
                          <w:sz w:val="24"/>
                        </w:rPr>
                        <w:t>Dra. Luciana Gandini</w:t>
                      </w:r>
                    </w:p>
                    <w:p w14:paraId="60AAF9EE" w14:textId="77777777" w:rsidR="001F0B45" w:rsidRDefault="001F0B45">
                      <w:pPr>
                        <w:jc w:val="center"/>
                        <w:textDirection w:val="btLr"/>
                      </w:pPr>
                      <w:r>
                        <w:rPr>
                          <w:rFonts w:ascii="Times New Roman" w:eastAsia="Times New Roman" w:hAnsi="Times New Roman" w:cs="Times New Roman"/>
                          <w:color w:val="FFFFFF"/>
                          <w:sz w:val="24"/>
                        </w:rPr>
                        <w:t>Dr. José R. Nicolás Carlock</w:t>
                      </w:r>
                    </w:p>
                    <w:p w14:paraId="1A430B49" w14:textId="77777777" w:rsidR="001F0B45" w:rsidRDefault="001F0B45">
                      <w:pPr>
                        <w:ind w:left="2880" w:firstLine="9360"/>
                        <w:textDirection w:val="btLr"/>
                      </w:pPr>
                    </w:p>
                  </w:txbxContent>
                </v:textbox>
              </v:rect>
            </w:pict>
          </mc:Fallback>
        </mc:AlternateContent>
      </w:r>
    </w:p>
    <w:p w14:paraId="682DCAC3" w14:textId="4E058119" w:rsidR="00E35B30" w:rsidRPr="00BA784D" w:rsidRDefault="0036612A">
      <w:pPr>
        <w:keepNext/>
        <w:keepLines/>
        <w:widowControl/>
        <w:pBdr>
          <w:top w:val="nil"/>
          <w:left w:val="nil"/>
          <w:bottom w:val="nil"/>
          <w:right w:val="nil"/>
          <w:between w:val="nil"/>
        </w:pBdr>
        <w:spacing w:before="240" w:line="360" w:lineRule="auto"/>
        <w:rPr>
          <w:rFonts w:ascii="Times New Roman" w:eastAsia="Times New Roman" w:hAnsi="Times New Roman" w:cs="Times New Roman"/>
          <w:color w:val="000000"/>
          <w:sz w:val="24"/>
          <w:szCs w:val="24"/>
        </w:rPr>
      </w:pPr>
      <w:bookmarkStart w:id="0" w:name="_GoBack"/>
      <w:bookmarkEnd w:id="0"/>
      <w:r w:rsidRPr="00BA784D">
        <w:rPr>
          <w:rFonts w:ascii="Times New Roman" w:eastAsia="Times New Roman" w:hAnsi="Times New Roman" w:cs="Times New Roman"/>
          <w:color w:val="000000"/>
          <w:sz w:val="24"/>
          <w:szCs w:val="24"/>
        </w:rPr>
        <w:lastRenderedPageBreak/>
        <w:t>Programa Nacional de Transparencia y Acceso a la Información (PROTAI) 2022-202</w:t>
      </w:r>
      <w:r w:rsidR="00A11932" w:rsidRPr="00BA784D">
        <w:rPr>
          <w:rFonts w:ascii="Times New Roman" w:eastAsia="Times New Roman" w:hAnsi="Times New Roman" w:cs="Times New Roman"/>
          <w:color w:val="000000"/>
          <w:sz w:val="24"/>
          <w:szCs w:val="24"/>
        </w:rPr>
        <w:t>6</w:t>
      </w:r>
      <w:r w:rsidRPr="00BA784D">
        <w:rPr>
          <w:rFonts w:ascii="Times New Roman" w:eastAsia="Times New Roman" w:hAnsi="Times New Roman" w:cs="Times New Roman"/>
          <w:color w:val="000000"/>
          <w:sz w:val="24"/>
          <w:szCs w:val="24"/>
        </w:rPr>
        <w:t xml:space="preserve"> </w:t>
      </w:r>
    </w:p>
    <w:p w14:paraId="3FC87EDF" w14:textId="77777777" w:rsidR="00E35B30" w:rsidRPr="00BA784D" w:rsidRDefault="0036612A">
      <w:pPr>
        <w:keepNext/>
        <w:keepLines/>
        <w:widowControl/>
        <w:pBdr>
          <w:top w:val="nil"/>
          <w:left w:val="nil"/>
          <w:bottom w:val="nil"/>
          <w:right w:val="nil"/>
          <w:between w:val="nil"/>
        </w:pBdr>
        <w:spacing w:before="240" w:line="360" w:lineRule="auto"/>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Índice</w:t>
      </w:r>
    </w:p>
    <w:sdt>
      <w:sdtPr>
        <w:rPr>
          <w:sz w:val="22"/>
          <w:szCs w:val="22"/>
        </w:rPr>
        <w:id w:val="-287133050"/>
        <w:docPartObj>
          <w:docPartGallery w:val="Table of Contents"/>
          <w:docPartUnique/>
        </w:docPartObj>
      </w:sdtPr>
      <w:sdtEndPr/>
      <w:sdtContent>
        <w:p w14:paraId="52597B11" w14:textId="4C8DB731" w:rsidR="009100BC" w:rsidRDefault="0036612A">
          <w:pPr>
            <w:pStyle w:val="TDC2"/>
            <w:tabs>
              <w:tab w:val="right" w:pos="8828"/>
            </w:tabs>
            <w:rPr>
              <w:rFonts w:asciiTheme="minorHAnsi" w:eastAsiaTheme="minorEastAsia" w:hAnsiTheme="minorHAnsi" w:cstheme="minorBidi"/>
              <w:noProof/>
              <w:sz w:val="22"/>
              <w:szCs w:val="22"/>
            </w:rPr>
          </w:pPr>
          <w:r w:rsidRPr="00BA784D">
            <w:fldChar w:fldCharType="begin"/>
          </w:r>
          <w:r w:rsidRPr="00BA784D">
            <w:instrText xml:space="preserve"> TOC \h \u \z </w:instrText>
          </w:r>
          <w:r w:rsidRPr="00BA784D">
            <w:fldChar w:fldCharType="separate"/>
          </w:r>
          <w:hyperlink w:anchor="_Toc102051217" w:history="1">
            <w:r w:rsidR="009100BC" w:rsidRPr="00B04A11">
              <w:rPr>
                <w:rStyle w:val="Hipervnculo"/>
                <w:noProof/>
              </w:rPr>
              <w:t>Introducción al PROTAI 2022-2026</w:t>
            </w:r>
            <w:r w:rsidR="009100BC">
              <w:rPr>
                <w:noProof/>
                <w:webHidden/>
              </w:rPr>
              <w:tab/>
            </w:r>
            <w:r w:rsidR="009100BC">
              <w:rPr>
                <w:noProof/>
                <w:webHidden/>
              </w:rPr>
              <w:fldChar w:fldCharType="begin"/>
            </w:r>
            <w:r w:rsidR="009100BC">
              <w:rPr>
                <w:noProof/>
                <w:webHidden/>
              </w:rPr>
              <w:instrText xml:space="preserve"> PAGEREF _Toc102051217 \h </w:instrText>
            </w:r>
            <w:r w:rsidR="009100BC">
              <w:rPr>
                <w:noProof/>
                <w:webHidden/>
              </w:rPr>
            </w:r>
            <w:r w:rsidR="009100BC">
              <w:rPr>
                <w:noProof/>
                <w:webHidden/>
              </w:rPr>
              <w:fldChar w:fldCharType="separate"/>
            </w:r>
            <w:r w:rsidR="004219E9">
              <w:rPr>
                <w:noProof/>
                <w:webHidden/>
              </w:rPr>
              <w:t>4</w:t>
            </w:r>
            <w:r w:rsidR="009100BC">
              <w:rPr>
                <w:noProof/>
                <w:webHidden/>
              </w:rPr>
              <w:fldChar w:fldCharType="end"/>
            </w:r>
          </w:hyperlink>
        </w:p>
        <w:p w14:paraId="4DD318D6" w14:textId="3568BE05" w:rsidR="009100BC" w:rsidRDefault="0027114E">
          <w:pPr>
            <w:pStyle w:val="TDC2"/>
            <w:tabs>
              <w:tab w:val="right" w:pos="8828"/>
            </w:tabs>
            <w:rPr>
              <w:rFonts w:asciiTheme="minorHAnsi" w:eastAsiaTheme="minorEastAsia" w:hAnsiTheme="minorHAnsi" w:cstheme="minorBidi"/>
              <w:noProof/>
              <w:sz w:val="22"/>
              <w:szCs w:val="22"/>
            </w:rPr>
          </w:pPr>
          <w:hyperlink w:anchor="_Toc102051218" w:history="1">
            <w:r w:rsidR="009100BC" w:rsidRPr="00B04A11">
              <w:rPr>
                <w:rStyle w:val="Hipervnculo"/>
                <w:noProof/>
              </w:rPr>
              <w:t>Antecedentes: valoración general del Primer PROTAI</w:t>
            </w:r>
            <w:r w:rsidR="009100BC">
              <w:rPr>
                <w:noProof/>
                <w:webHidden/>
              </w:rPr>
              <w:tab/>
            </w:r>
            <w:r w:rsidR="009100BC">
              <w:rPr>
                <w:noProof/>
                <w:webHidden/>
              </w:rPr>
              <w:fldChar w:fldCharType="begin"/>
            </w:r>
            <w:r w:rsidR="009100BC">
              <w:rPr>
                <w:noProof/>
                <w:webHidden/>
              </w:rPr>
              <w:instrText xml:space="preserve"> PAGEREF _Toc102051218 \h </w:instrText>
            </w:r>
            <w:r w:rsidR="009100BC">
              <w:rPr>
                <w:noProof/>
                <w:webHidden/>
              </w:rPr>
            </w:r>
            <w:r w:rsidR="009100BC">
              <w:rPr>
                <w:noProof/>
                <w:webHidden/>
              </w:rPr>
              <w:fldChar w:fldCharType="separate"/>
            </w:r>
            <w:r w:rsidR="004219E9">
              <w:rPr>
                <w:noProof/>
                <w:webHidden/>
              </w:rPr>
              <w:t>6</w:t>
            </w:r>
            <w:r w:rsidR="009100BC">
              <w:rPr>
                <w:noProof/>
                <w:webHidden/>
              </w:rPr>
              <w:fldChar w:fldCharType="end"/>
            </w:r>
          </w:hyperlink>
        </w:p>
        <w:p w14:paraId="366CA588" w14:textId="75506FBD" w:rsidR="009100BC" w:rsidRDefault="0027114E">
          <w:pPr>
            <w:pStyle w:val="TDC2"/>
            <w:tabs>
              <w:tab w:val="right" w:pos="8828"/>
            </w:tabs>
            <w:rPr>
              <w:rFonts w:asciiTheme="minorHAnsi" w:eastAsiaTheme="minorEastAsia" w:hAnsiTheme="minorHAnsi" w:cstheme="minorBidi"/>
              <w:noProof/>
              <w:sz w:val="22"/>
              <w:szCs w:val="22"/>
            </w:rPr>
          </w:pPr>
          <w:hyperlink w:anchor="_Toc102051219" w:history="1">
            <w:r w:rsidR="009100BC" w:rsidRPr="00B04A11">
              <w:rPr>
                <w:rStyle w:val="Hipervnculo"/>
                <w:noProof/>
              </w:rPr>
              <w:t>Objetivos del PROTAI 2022-2026: Avanzar, mejorar y consolidar</w:t>
            </w:r>
            <w:r w:rsidR="009100BC">
              <w:rPr>
                <w:noProof/>
                <w:webHidden/>
              </w:rPr>
              <w:tab/>
            </w:r>
            <w:r w:rsidR="009100BC">
              <w:rPr>
                <w:noProof/>
                <w:webHidden/>
              </w:rPr>
              <w:fldChar w:fldCharType="begin"/>
            </w:r>
            <w:r w:rsidR="009100BC">
              <w:rPr>
                <w:noProof/>
                <w:webHidden/>
              </w:rPr>
              <w:instrText xml:space="preserve"> PAGEREF _Toc102051219 \h </w:instrText>
            </w:r>
            <w:r w:rsidR="009100BC">
              <w:rPr>
                <w:noProof/>
                <w:webHidden/>
              </w:rPr>
            </w:r>
            <w:r w:rsidR="009100BC">
              <w:rPr>
                <w:noProof/>
                <w:webHidden/>
              </w:rPr>
              <w:fldChar w:fldCharType="separate"/>
            </w:r>
            <w:r w:rsidR="004219E9">
              <w:rPr>
                <w:noProof/>
                <w:webHidden/>
              </w:rPr>
              <w:t>17</w:t>
            </w:r>
            <w:r w:rsidR="009100BC">
              <w:rPr>
                <w:noProof/>
                <w:webHidden/>
              </w:rPr>
              <w:fldChar w:fldCharType="end"/>
            </w:r>
          </w:hyperlink>
        </w:p>
        <w:p w14:paraId="01171971" w14:textId="6BCA11C5" w:rsidR="009100BC" w:rsidRDefault="0027114E">
          <w:pPr>
            <w:pStyle w:val="TDC2"/>
            <w:tabs>
              <w:tab w:val="right" w:pos="8828"/>
            </w:tabs>
            <w:rPr>
              <w:rFonts w:asciiTheme="minorHAnsi" w:eastAsiaTheme="minorEastAsia" w:hAnsiTheme="minorHAnsi" w:cstheme="minorBidi"/>
              <w:noProof/>
              <w:sz w:val="22"/>
              <w:szCs w:val="22"/>
            </w:rPr>
          </w:pPr>
          <w:hyperlink w:anchor="_Toc102051220" w:history="1">
            <w:r w:rsidR="009100BC" w:rsidRPr="00B04A11">
              <w:rPr>
                <w:rStyle w:val="Hipervnculo"/>
                <w:noProof/>
              </w:rPr>
              <w:t>Marco normativo. El modelo mexicano de acceso a la información pública</w:t>
            </w:r>
            <w:r w:rsidR="009100BC">
              <w:rPr>
                <w:noProof/>
                <w:webHidden/>
              </w:rPr>
              <w:tab/>
            </w:r>
            <w:r w:rsidR="009100BC">
              <w:rPr>
                <w:noProof/>
                <w:webHidden/>
              </w:rPr>
              <w:fldChar w:fldCharType="begin"/>
            </w:r>
            <w:r w:rsidR="009100BC">
              <w:rPr>
                <w:noProof/>
                <w:webHidden/>
              </w:rPr>
              <w:instrText xml:space="preserve"> PAGEREF _Toc102051220 \h </w:instrText>
            </w:r>
            <w:r w:rsidR="009100BC">
              <w:rPr>
                <w:noProof/>
                <w:webHidden/>
              </w:rPr>
            </w:r>
            <w:r w:rsidR="009100BC">
              <w:rPr>
                <w:noProof/>
                <w:webHidden/>
              </w:rPr>
              <w:fldChar w:fldCharType="separate"/>
            </w:r>
            <w:r w:rsidR="004219E9">
              <w:rPr>
                <w:noProof/>
                <w:webHidden/>
              </w:rPr>
              <w:t>26</w:t>
            </w:r>
            <w:r w:rsidR="009100BC">
              <w:rPr>
                <w:noProof/>
                <w:webHidden/>
              </w:rPr>
              <w:fldChar w:fldCharType="end"/>
            </w:r>
          </w:hyperlink>
        </w:p>
        <w:p w14:paraId="6E37BF04" w14:textId="45A682BC" w:rsidR="009100BC" w:rsidRDefault="0027114E">
          <w:pPr>
            <w:pStyle w:val="TDC2"/>
            <w:tabs>
              <w:tab w:val="right" w:pos="8828"/>
            </w:tabs>
            <w:rPr>
              <w:rFonts w:asciiTheme="minorHAnsi" w:eastAsiaTheme="minorEastAsia" w:hAnsiTheme="minorHAnsi" w:cstheme="minorBidi"/>
              <w:noProof/>
              <w:sz w:val="22"/>
              <w:szCs w:val="22"/>
            </w:rPr>
          </w:pPr>
          <w:hyperlink w:anchor="_Toc102051221" w:history="1">
            <w:r w:rsidR="009100BC" w:rsidRPr="00B04A11">
              <w:rPr>
                <w:rStyle w:val="Hipervnculo"/>
                <w:noProof/>
              </w:rPr>
              <w:t>CONTENIDO PROTAI</w:t>
            </w:r>
            <w:r w:rsidR="009100BC">
              <w:rPr>
                <w:noProof/>
                <w:webHidden/>
              </w:rPr>
              <w:tab/>
            </w:r>
            <w:r w:rsidR="009100BC">
              <w:rPr>
                <w:noProof/>
                <w:webHidden/>
              </w:rPr>
              <w:fldChar w:fldCharType="begin"/>
            </w:r>
            <w:r w:rsidR="009100BC">
              <w:rPr>
                <w:noProof/>
                <w:webHidden/>
              </w:rPr>
              <w:instrText xml:space="preserve"> PAGEREF _Toc102051221 \h </w:instrText>
            </w:r>
            <w:r w:rsidR="009100BC">
              <w:rPr>
                <w:noProof/>
                <w:webHidden/>
              </w:rPr>
            </w:r>
            <w:r w:rsidR="009100BC">
              <w:rPr>
                <w:noProof/>
                <w:webHidden/>
              </w:rPr>
              <w:fldChar w:fldCharType="separate"/>
            </w:r>
            <w:r w:rsidR="004219E9">
              <w:rPr>
                <w:noProof/>
                <w:webHidden/>
              </w:rPr>
              <w:t>33</w:t>
            </w:r>
            <w:r w:rsidR="009100BC">
              <w:rPr>
                <w:noProof/>
                <w:webHidden/>
              </w:rPr>
              <w:fldChar w:fldCharType="end"/>
            </w:r>
          </w:hyperlink>
        </w:p>
        <w:p w14:paraId="6BA7FAC8" w14:textId="2A7C7CEF" w:rsidR="009100BC" w:rsidRDefault="0027114E">
          <w:pPr>
            <w:pStyle w:val="TDC3"/>
            <w:tabs>
              <w:tab w:val="right" w:pos="8828"/>
            </w:tabs>
            <w:rPr>
              <w:rFonts w:asciiTheme="minorHAnsi" w:eastAsiaTheme="minorEastAsia" w:hAnsiTheme="minorHAnsi" w:cstheme="minorBidi"/>
              <w:noProof/>
              <w:sz w:val="22"/>
              <w:szCs w:val="22"/>
            </w:rPr>
          </w:pPr>
          <w:hyperlink w:anchor="_Toc102051222" w:history="1">
            <w:r w:rsidR="009100BC" w:rsidRPr="00B04A11">
              <w:rPr>
                <w:rStyle w:val="Hipervnculo"/>
                <w:noProof/>
              </w:rPr>
              <w:t>OBJETIVO GENERAL:</w:t>
            </w:r>
            <w:r w:rsidR="009100BC">
              <w:rPr>
                <w:noProof/>
                <w:webHidden/>
              </w:rPr>
              <w:tab/>
            </w:r>
            <w:r w:rsidR="009100BC">
              <w:rPr>
                <w:noProof/>
                <w:webHidden/>
              </w:rPr>
              <w:fldChar w:fldCharType="begin"/>
            </w:r>
            <w:r w:rsidR="009100BC">
              <w:rPr>
                <w:noProof/>
                <w:webHidden/>
              </w:rPr>
              <w:instrText xml:space="preserve"> PAGEREF _Toc102051222 \h </w:instrText>
            </w:r>
            <w:r w:rsidR="009100BC">
              <w:rPr>
                <w:noProof/>
                <w:webHidden/>
              </w:rPr>
            </w:r>
            <w:r w:rsidR="009100BC">
              <w:rPr>
                <w:noProof/>
                <w:webHidden/>
              </w:rPr>
              <w:fldChar w:fldCharType="separate"/>
            </w:r>
            <w:r w:rsidR="004219E9">
              <w:rPr>
                <w:noProof/>
                <w:webHidden/>
              </w:rPr>
              <w:t>33</w:t>
            </w:r>
            <w:r w:rsidR="009100BC">
              <w:rPr>
                <w:noProof/>
                <w:webHidden/>
              </w:rPr>
              <w:fldChar w:fldCharType="end"/>
            </w:r>
          </w:hyperlink>
        </w:p>
        <w:p w14:paraId="264CB97A" w14:textId="78F2709D" w:rsidR="009100BC" w:rsidRDefault="0027114E">
          <w:pPr>
            <w:pStyle w:val="TDC3"/>
            <w:tabs>
              <w:tab w:val="right" w:pos="8828"/>
            </w:tabs>
            <w:rPr>
              <w:rFonts w:asciiTheme="minorHAnsi" w:eastAsiaTheme="minorEastAsia" w:hAnsiTheme="minorHAnsi" w:cstheme="minorBidi"/>
              <w:noProof/>
              <w:sz w:val="22"/>
              <w:szCs w:val="22"/>
            </w:rPr>
          </w:pPr>
          <w:hyperlink w:anchor="_Toc102051223" w:history="1">
            <w:r w:rsidR="009100BC" w:rsidRPr="00B04A11">
              <w:rPr>
                <w:rStyle w:val="Hipervnculo"/>
                <w:noProof/>
              </w:rPr>
              <w:t>OBJETIVOS ESPECÍFICOS:</w:t>
            </w:r>
            <w:r w:rsidR="009100BC">
              <w:rPr>
                <w:noProof/>
                <w:webHidden/>
              </w:rPr>
              <w:tab/>
            </w:r>
            <w:r w:rsidR="009100BC">
              <w:rPr>
                <w:noProof/>
                <w:webHidden/>
              </w:rPr>
              <w:fldChar w:fldCharType="begin"/>
            </w:r>
            <w:r w:rsidR="009100BC">
              <w:rPr>
                <w:noProof/>
                <w:webHidden/>
              </w:rPr>
              <w:instrText xml:space="preserve"> PAGEREF _Toc102051223 \h </w:instrText>
            </w:r>
            <w:r w:rsidR="009100BC">
              <w:rPr>
                <w:noProof/>
                <w:webHidden/>
              </w:rPr>
            </w:r>
            <w:r w:rsidR="009100BC">
              <w:rPr>
                <w:noProof/>
                <w:webHidden/>
              </w:rPr>
              <w:fldChar w:fldCharType="separate"/>
            </w:r>
            <w:r w:rsidR="004219E9">
              <w:rPr>
                <w:noProof/>
                <w:webHidden/>
              </w:rPr>
              <w:t>33</w:t>
            </w:r>
            <w:r w:rsidR="009100BC">
              <w:rPr>
                <w:noProof/>
                <w:webHidden/>
              </w:rPr>
              <w:fldChar w:fldCharType="end"/>
            </w:r>
          </w:hyperlink>
        </w:p>
        <w:p w14:paraId="687449AC" w14:textId="63C5AFA1" w:rsidR="009100BC" w:rsidRDefault="0027114E">
          <w:pPr>
            <w:pStyle w:val="TDC3"/>
            <w:tabs>
              <w:tab w:val="right" w:pos="8828"/>
            </w:tabs>
            <w:rPr>
              <w:rFonts w:asciiTheme="minorHAnsi" w:eastAsiaTheme="minorEastAsia" w:hAnsiTheme="minorHAnsi" w:cstheme="minorBidi"/>
              <w:noProof/>
              <w:sz w:val="22"/>
              <w:szCs w:val="22"/>
            </w:rPr>
          </w:pPr>
          <w:hyperlink w:anchor="_Toc102051224" w:history="1">
            <w:r w:rsidR="009100BC" w:rsidRPr="00B04A11">
              <w:rPr>
                <w:rStyle w:val="Hipervnculo"/>
                <w:noProof/>
              </w:rPr>
              <w:t>ESTRATEGIAS:</w:t>
            </w:r>
            <w:r w:rsidR="009100BC">
              <w:rPr>
                <w:noProof/>
                <w:webHidden/>
              </w:rPr>
              <w:tab/>
            </w:r>
            <w:r w:rsidR="009100BC">
              <w:rPr>
                <w:noProof/>
                <w:webHidden/>
              </w:rPr>
              <w:fldChar w:fldCharType="begin"/>
            </w:r>
            <w:r w:rsidR="009100BC">
              <w:rPr>
                <w:noProof/>
                <w:webHidden/>
              </w:rPr>
              <w:instrText xml:space="preserve"> PAGEREF _Toc102051224 \h </w:instrText>
            </w:r>
            <w:r w:rsidR="009100BC">
              <w:rPr>
                <w:noProof/>
                <w:webHidden/>
              </w:rPr>
            </w:r>
            <w:r w:rsidR="009100BC">
              <w:rPr>
                <w:noProof/>
                <w:webHidden/>
              </w:rPr>
              <w:fldChar w:fldCharType="separate"/>
            </w:r>
            <w:r w:rsidR="004219E9">
              <w:rPr>
                <w:noProof/>
                <w:webHidden/>
              </w:rPr>
              <w:t>34</w:t>
            </w:r>
            <w:r w:rsidR="009100BC">
              <w:rPr>
                <w:noProof/>
                <w:webHidden/>
              </w:rPr>
              <w:fldChar w:fldCharType="end"/>
            </w:r>
          </w:hyperlink>
        </w:p>
        <w:p w14:paraId="503B28D8" w14:textId="52B68B84" w:rsidR="009100BC" w:rsidRDefault="0027114E">
          <w:pPr>
            <w:pStyle w:val="TDC2"/>
            <w:tabs>
              <w:tab w:val="right" w:pos="8828"/>
            </w:tabs>
            <w:rPr>
              <w:rFonts w:asciiTheme="minorHAnsi" w:eastAsiaTheme="minorEastAsia" w:hAnsiTheme="minorHAnsi" w:cstheme="minorBidi"/>
              <w:noProof/>
              <w:sz w:val="22"/>
              <w:szCs w:val="22"/>
            </w:rPr>
          </w:pPr>
          <w:hyperlink w:anchor="_Toc102051225" w:history="1">
            <w:r w:rsidR="009100BC" w:rsidRPr="00B04A11">
              <w:rPr>
                <w:rStyle w:val="Hipervnculo"/>
                <w:noProof/>
              </w:rPr>
              <w:t>ESTRUCTURA:</w:t>
            </w:r>
            <w:r w:rsidR="009100BC">
              <w:rPr>
                <w:noProof/>
                <w:webHidden/>
              </w:rPr>
              <w:tab/>
            </w:r>
            <w:r w:rsidR="009100BC">
              <w:rPr>
                <w:noProof/>
                <w:webHidden/>
              </w:rPr>
              <w:fldChar w:fldCharType="begin"/>
            </w:r>
            <w:r w:rsidR="009100BC">
              <w:rPr>
                <w:noProof/>
                <w:webHidden/>
              </w:rPr>
              <w:instrText xml:space="preserve"> PAGEREF _Toc102051225 \h </w:instrText>
            </w:r>
            <w:r w:rsidR="009100BC">
              <w:rPr>
                <w:noProof/>
                <w:webHidden/>
              </w:rPr>
            </w:r>
            <w:r w:rsidR="009100BC">
              <w:rPr>
                <w:noProof/>
                <w:webHidden/>
              </w:rPr>
              <w:fldChar w:fldCharType="separate"/>
            </w:r>
            <w:r w:rsidR="004219E9">
              <w:rPr>
                <w:noProof/>
                <w:webHidden/>
              </w:rPr>
              <w:t>38</w:t>
            </w:r>
            <w:r w:rsidR="009100BC">
              <w:rPr>
                <w:noProof/>
                <w:webHidden/>
              </w:rPr>
              <w:fldChar w:fldCharType="end"/>
            </w:r>
          </w:hyperlink>
        </w:p>
        <w:p w14:paraId="089ACCC0" w14:textId="3B36A264" w:rsidR="009100BC" w:rsidRDefault="0027114E">
          <w:pPr>
            <w:pStyle w:val="TDC2"/>
            <w:tabs>
              <w:tab w:val="right" w:pos="8828"/>
            </w:tabs>
            <w:rPr>
              <w:rFonts w:asciiTheme="minorHAnsi" w:eastAsiaTheme="minorEastAsia" w:hAnsiTheme="minorHAnsi" w:cstheme="minorBidi"/>
              <w:noProof/>
              <w:sz w:val="22"/>
              <w:szCs w:val="22"/>
            </w:rPr>
          </w:pPr>
          <w:hyperlink w:anchor="_Toc102051226" w:history="1">
            <w:r w:rsidR="009100BC" w:rsidRPr="00B04A11">
              <w:rPr>
                <w:rStyle w:val="Hipervnculo"/>
                <w:noProof/>
              </w:rPr>
              <w:t>Eje 1. Archivo y Gestión Documental</w:t>
            </w:r>
            <w:r w:rsidR="009100BC">
              <w:rPr>
                <w:noProof/>
                <w:webHidden/>
              </w:rPr>
              <w:tab/>
            </w:r>
            <w:r w:rsidR="009100BC">
              <w:rPr>
                <w:noProof/>
                <w:webHidden/>
              </w:rPr>
              <w:fldChar w:fldCharType="begin"/>
            </w:r>
            <w:r w:rsidR="009100BC">
              <w:rPr>
                <w:noProof/>
                <w:webHidden/>
              </w:rPr>
              <w:instrText xml:space="preserve"> PAGEREF _Toc102051226 \h </w:instrText>
            </w:r>
            <w:r w:rsidR="009100BC">
              <w:rPr>
                <w:noProof/>
                <w:webHidden/>
              </w:rPr>
            </w:r>
            <w:r w:rsidR="009100BC">
              <w:rPr>
                <w:noProof/>
                <w:webHidden/>
              </w:rPr>
              <w:fldChar w:fldCharType="separate"/>
            </w:r>
            <w:r w:rsidR="004219E9">
              <w:rPr>
                <w:noProof/>
                <w:webHidden/>
              </w:rPr>
              <w:t>39</w:t>
            </w:r>
            <w:r w:rsidR="009100BC">
              <w:rPr>
                <w:noProof/>
                <w:webHidden/>
              </w:rPr>
              <w:fldChar w:fldCharType="end"/>
            </w:r>
          </w:hyperlink>
        </w:p>
        <w:p w14:paraId="35AD92E7" w14:textId="44C9F1F1" w:rsidR="009100BC" w:rsidRDefault="0027114E">
          <w:pPr>
            <w:pStyle w:val="TDC2"/>
            <w:tabs>
              <w:tab w:val="right" w:pos="8828"/>
            </w:tabs>
            <w:rPr>
              <w:rFonts w:asciiTheme="minorHAnsi" w:eastAsiaTheme="minorEastAsia" w:hAnsiTheme="minorHAnsi" w:cstheme="minorBidi"/>
              <w:noProof/>
              <w:sz w:val="22"/>
              <w:szCs w:val="22"/>
            </w:rPr>
          </w:pPr>
          <w:hyperlink w:anchor="_Toc102051227" w:history="1">
            <w:r w:rsidR="009100BC" w:rsidRPr="00B04A11">
              <w:rPr>
                <w:rStyle w:val="Hipervnculo"/>
                <w:noProof/>
              </w:rPr>
              <w:t>Eje 2. Derecho de Acceso a la Información</w:t>
            </w:r>
            <w:r w:rsidR="009100BC">
              <w:rPr>
                <w:noProof/>
                <w:webHidden/>
              </w:rPr>
              <w:tab/>
            </w:r>
            <w:r w:rsidR="009100BC">
              <w:rPr>
                <w:noProof/>
                <w:webHidden/>
              </w:rPr>
              <w:fldChar w:fldCharType="begin"/>
            </w:r>
            <w:r w:rsidR="009100BC">
              <w:rPr>
                <w:noProof/>
                <w:webHidden/>
              </w:rPr>
              <w:instrText xml:space="preserve"> PAGEREF _Toc102051227 \h </w:instrText>
            </w:r>
            <w:r w:rsidR="009100BC">
              <w:rPr>
                <w:noProof/>
                <w:webHidden/>
              </w:rPr>
            </w:r>
            <w:r w:rsidR="009100BC">
              <w:rPr>
                <w:noProof/>
                <w:webHidden/>
              </w:rPr>
              <w:fldChar w:fldCharType="separate"/>
            </w:r>
            <w:r w:rsidR="004219E9">
              <w:rPr>
                <w:noProof/>
                <w:webHidden/>
              </w:rPr>
              <w:t>43</w:t>
            </w:r>
            <w:r w:rsidR="009100BC">
              <w:rPr>
                <w:noProof/>
                <w:webHidden/>
              </w:rPr>
              <w:fldChar w:fldCharType="end"/>
            </w:r>
          </w:hyperlink>
        </w:p>
        <w:p w14:paraId="5EE987C0" w14:textId="2B9D0463" w:rsidR="009100BC" w:rsidRDefault="0027114E">
          <w:pPr>
            <w:pStyle w:val="TDC2"/>
            <w:tabs>
              <w:tab w:val="right" w:pos="8828"/>
            </w:tabs>
            <w:rPr>
              <w:rFonts w:asciiTheme="minorHAnsi" w:eastAsiaTheme="minorEastAsia" w:hAnsiTheme="minorHAnsi" w:cstheme="minorBidi"/>
              <w:noProof/>
              <w:sz w:val="22"/>
              <w:szCs w:val="22"/>
            </w:rPr>
          </w:pPr>
          <w:hyperlink w:anchor="_Toc102051228" w:history="1">
            <w:r w:rsidR="009100BC" w:rsidRPr="00B04A11">
              <w:rPr>
                <w:rStyle w:val="Hipervnculo"/>
                <w:noProof/>
              </w:rPr>
              <w:t>Eje 3. Políticas de Transparencia: Estado Abierto, Gobierno Digital, Transparencia Proactiva, SIPOT y Datos Abiertos</w:t>
            </w:r>
            <w:r w:rsidR="009100BC">
              <w:rPr>
                <w:noProof/>
                <w:webHidden/>
              </w:rPr>
              <w:tab/>
            </w:r>
            <w:r w:rsidR="009100BC">
              <w:rPr>
                <w:noProof/>
                <w:webHidden/>
              </w:rPr>
              <w:fldChar w:fldCharType="begin"/>
            </w:r>
            <w:r w:rsidR="009100BC">
              <w:rPr>
                <w:noProof/>
                <w:webHidden/>
              </w:rPr>
              <w:instrText xml:space="preserve"> PAGEREF _Toc102051228 \h </w:instrText>
            </w:r>
            <w:r w:rsidR="009100BC">
              <w:rPr>
                <w:noProof/>
                <w:webHidden/>
              </w:rPr>
            </w:r>
            <w:r w:rsidR="009100BC">
              <w:rPr>
                <w:noProof/>
                <w:webHidden/>
              </w:rPr>
              <w:fldChar w:fldCharType="separate"/>
            </w:r>
            <w:r w:rsidR="004219E9">
              <w:rPr>
                <w:noProof/>
                <w:webHidden/>
              </w:rPr>
              <w:t>51</w:t>
            </w:r>
            <w:r w:rsidR="009100BC">
              <w:rPr>
                <w:noProof/>
                <w:webHidden/>
              </w:rPr>
              <w:fldChar w:fldCharType="end"/>
            </w:r>
          </w:hyperlink>
        </w:p>
        <w:p w14:paraId="4009B6CD" w14:textId="32ECAFFD" w:rsidR="009100BC" w:rsidRDefault="0027114E">
          <w:pPr>
            <w:pStyle w:val="TDC3"/>
            <w:tabs>
              <w:tab w:val="right" w:pos="8828"/>
            </w:tabs>
            <w:rPr>
              <w:rFonts w:asciiTheme="minorHAnsi" w:eastAsiaTheme="minorEastAsia" w:hAnsiTheme="minorHAnsi" w:cstheme="minorBidi"/>
              <w:noProof/>
              <w:sz w:val="22"/>
              <w:szCs w:val="22"/>
            </w:rPr>
          </w:pPr>
          <w:hyperlink w:anchor="_Toc102051229" w:history="1">
            <w:r w:rsidR="009100BC" w:rsidRPr="00B04A11">
              <w:rPr>
                <w:rStyle w:val="Hipervnculo"/>
                <w:noProof/>
              </w:rPr>
              <w:t>3.1. ESTADO ABIERTO</w:t>
            </w:r>
            <w:r w:rsidR="009100BC">
              <w:rPr>
                <w:noProof/>
                <w:webHidden/>
              </w:rPr>
              <w:tab/>
            </w:r>
            <w:r w:rsidR="009100BC">
              <w:rPr>
                <w:noProof/>
                <w:webHidden/>
              </w:rPr>
              <w:fldChar w:fldCharType="begin"/>
            </w:r>
            <w:r w:rsidR="009100BC">
              <w:rPr>
                <w:noProof/>
                <w:webHidden/>
              </w:rPr>
              <w:instrText xml:space="preserve"> PAGEREF _Toc102051229 \h </w:instrText>
            </w:r>
            <w:r w:rsidR="009100BC">
              <w:rPr>
                <w:noProof/>
                <w:webHidden/>
              </w:rPr>
            </w:r>
            <w:r w:rsidR="009100BC">
              <w:rPr>
                <w:noProof/>
                <w:webHidden/>
              </w:rPr>
              <w:fldChar w:fldCharType="separate"/>
            </w:r>
            <w:r w:rsidR="004219E9">
              <w:rPr>
                <w:noProof/>
                <w:webHidden/>
              </w:rPr>
              <w:t>51</w:t>
            </w:r>
            <w:r w:rsidR="009100BC">
              <w:rPr>
                <w:noProof/>
                <w:webHidden/>
              </w:rPr>
              <w:fldChar w:fldCharType="end"/>
            </w:r>
          </w:hyperlink>
        </w:p>
        <w:p w14:paraId="4FB6BF72" w14:textId="4D58CF28" w:rsidR="009100BC" w:rsidRDefault="0027114E">
          <w:pPr>
            <w:pStyle w:val="TDC3"/>
            <w:tabs>
              <w:tab w:val="right" w:pos="8828"/>
            </w:tabs>
            <w:rPr>
              <w:rFonts w:asciiTheme="minorHAnsi" w:eastAsiaTheme="minorEastAsia" w:hAnsiTheme="minorHAnsi" w:cstheme="minorBidi"/>
              <w:noProof/>
              <w:sz w:val="22"/>
              <w:szCs w:val="22"/>
            </w:rPr>
          </w:pPr>
          <w:hyperlink w:anchor="_Toc102051230" w:history="1">
            <w:r w:rsidR="009100BC" w:rsidRPr="00B04A11">
              <w:rPr>
                <w:rStyle w:val="Hipervnculo"/>
                <w:noProof/>
              </w:rPr>
              <w:t>3.2 GOBIERNO DIGITAL</w:t>
            </w:r>
            <w:r w:rsidR="009100BC">
              <w:rPr>
                <w:noProof/>
                <w:webHidden/>
              </w:rPr>
              <w:tab/>
            </w:r>
            <w:r w:rsidR="009100BC">
              <w:rPr>
                <w:noProof/>
                <w:webHidden/>
              </w:rPr>
              <w:fldChar w:fldCharType="begin"/>
            </w:r>
            <w:r w:rsidR="009100BC">
              <w:rPr>
                <w:noProof/>
                <w:webHidden/>
              </w:rPr>
              <w:instrText xml:space="preserve"> PAGEREF _Toc102051230 \h </w:instrText>
            </w:r>
            <w:r w:rsidR="009100BC">
              <w:rPr>
                <w:noProof/>
                <w:webHidden/>
              </w:rPr>
            </w:r>
            <w:r w:rsidR="009100BC">
              <w:rPr>
                <w:noProof/>
                <w:webHidden/>
              </w:rPr>
              <w:fldChar w:fldCharType="separate"/>
            </w:r>
            <w:r w:rsidR="004219E9">
              <w:rPr>
                <w:noProof/>
                <w:webHidden/>
              </w:rPr>
              <w:t>55</w:t>
            </w:r>
            <w:r w:rsidR="009100BC">
              <w:rPr>
                <w:noProof/>
                <w:webHidden/>
              </w:rPr>
              <w:fldChar w:fldCharType="end"/>
            </w:r>
          </w:hyperlink>
        </w:p>
        <w:p w14:paraId="30DB649D" w14:textId="7BAA94FF" w:rsidR="009100BC" w:rsidRDefault="0027114E">
          <w:pPr>
            <w:pStyle w:val="TDC3"/>
            <w:tabs>
              <w:tab w:val="right" w:pos="8828"/>
            </w:tabs>
            <w:rPr>
              <w:rFonts w:asciiTheme="minorHAnsi" w:eastAsiaTheme="minorEastAsia" w:hAnsiTheme="minorHAnsi" w:cstheme="minorBidi"/>
              <w:noProof/>
              <w:sz w:val="22"/>
              <w:szCs w:val="22"/>
            </w:rPr>
          </w:pPr>
          <w:hyperlink w:anchor="_Toc102051231" w:history="1">
            <w:r w:rsidR="009100BC" w:rsidRPr="00B04A11">
              <w:rPr>
                <w:rStyle w:val="Hipervnculo"/>
                <w:noProof/>
              </w:rPr>
              <w:t>3.3 TRANSPARENCIA PROACTIVA</w:t>
            </w:r>
            <w:r w:rsidR="009100BC">
              <w:rPr>
                <w:noProof/>
                <w:webHidden/>
              </w:rPr>
              <w:tab/>
            </w:r>
            <w:r w:rsidR="009100BC">
              <w:rPr>
                <w:noProof/>
                <w:webHidden/>
              </w:rPr>
              <w:fldChar w:fldCharType="begin"/>
            </w:r>
            <w:r w:rsidR="009100BC">
              <w:rPr>
                <w:noProof/>
                <w:webHidden/>
              </w:rPr>
              <w:instrText xml:space="preserve"> PAGEREF _Toc102051231 \h </w:instrText>
            </w:r>
            <w:r w:rsidR="009100BC">
              <w:rPr>
                <w:noProof/>
                <w:webHidden/>
              </w:rPr>
            </w:r>
            <w:r w:rsidR="009100BC">
              <w:rPr>
                <w:noProof/>
                <w:webHidden/>
              </w:rPr>
              <w:fldChar w:fldCharType="separate"/>
            </w:r>
            <w:r w:rsidR="004219E9">
              <w:rPr>
                <w:noProof/>
                <w:webHidden/>
              </w:rPr>
              <w:t>58</w:t>
            </w:r>
            <w:r w:rsidR="009100BC">
              <w:rPr>
                <w:noProof/>
                <w:webHidden/>
              </w:rPr>
              <w:fldChar w:fldCharType="end"/>
            </w:r>
          </w:hyperlink>
        </w:p>
        <w:p w14:paraId="6BAF9999" w14:textId="0A6B4260" w:rsidR="009100BC" w:rsidRDefault="0027114E">
          <w:pPr>
            <w:pStyle w:val="TDC3"/>
            <w:tabs>
              <w:tab w:val="right" w:pos="8828"/>
            </w:tabs>
            <w:rPr>
              <w:rFonts w:asciiTheme="minorHAnsi" w:eastAsiaTheme="minorEastAsia" w:hAnsiTheme="minorHAnsi" w:cstheme="minorBidi"/>
              <w:noProof/>
              <w:sz w:val="22"/>
              <w:szCs w:val="22"/>
            </w:rPr>
          </w:pPr>
          <w:hyperlink w:anchor="_Toc102051232" w:history="1">
            <w:r w:rsidR="009100BC" w:rsidRPr="00B04A11">
              <w:rPr>
                <w:rStyle w:val="Hipervnculo"/>
                <w:noProof/>
              </w:rPr>
              <w:t>3.4 SIPOT (Sistema de Portales de Obligaciones de Transparencia de la Plataforma Nacional de Transparencia)</w:t>
            </w:r>
            <w:r w:rsidR="009100BC">
              <w:rPr>
                <w:noProof/>
                <w:webHidden/>
              </w:rPr>
              <w:tab/>
            </w:r>
            <w:r w:rsidR="009100BC">
              <w:rPr>
                <w:noProof/>
                <w:webHidden/>
              </w:rPr>
              <w:fldChar w:fldCharType="begin"/>
            </w:r>
            <w:r w:rsidR="009100BC">
              <w:rPr>
                <w:noProof/>
                <w:webHidden/>
              </w:rPr>
              <w:instrText xml:space="preserve"> PAGEREF _Toc102051232 \h </w:instrText>
            </w:r>
            <w:r w:rsidR="009100BC">
              <w:rPr>
                <w:noProof/>
                <w:webHidden/>
              </w:rPr>
            </w:r>
            <w:r w:rsidR="009100BC">
              <w:rPr>
                <w:noProof/>
                <w:webHidden/>
              </w:rPr>
              <w:fldChar w:fldCharType="separate"/>
            </w:r>
            <w:r w:rsidR="004219E9">
              <w:rPr>
                <w:noProof/>
                <w:webHidden/>
              </w:rPr>
              <w:t>61</w:t>
            </w:r>
            <w:r w:rsidR="009100BC">
              <w:rPr>
                <w:noProof/>
                <w:webHidden/>
              </w:rPr>
              <w:fldChar w:fldCharType="end"/>
            </w:r>
          </w:hyperlink>
        </w:p>
        <w:p w14:paraId="4AA4761F" w14:textId="17D51F76" w:rsidR="009100BC" w:rsidRDefault="0027114E">
          <w:pPr>
            <w:pStyle w:val="TDC3"/>
            <w:tabs>
              <w:tab w:val="right" w:pos="8828"/>
            </w:tabs>
            <w:rPr>
              <w:rFonts w:asciiTheme="minorHAnsi" w:eastAsiaTheme="minorEastAsia" w:hAnsiTheme="minorHAnsi" w:cstheme="minorBidi"/>
              <w:noProof/>
              <w:sz w:val="22"/>
              <w:szCs w:val="22"/>
            </w:rPr>
          </w:pPr>
          <w:hyperlink w:anchor="_Toc102051233" w:history="1">
            <w:r w:rsidR="009100BC" w:rsidRPr="00B04A11">
              <w:rPr>
                <w:rStyle w:val="Hipervnculo"/>
                <w:noProof/>
              </w:rPr>
              <w:t>3.5 DATOS ABIERTOS</w:t>
            </w:r>
            <w:r w:rsidR="009100BC">
              <w:rPr>
                <w:noProof/>
                <w:webHidden/>
              </w:rPr>
              <w:tab/>
            </w:r>
            <w:r w:rsidR="009100BC">
              <w:rPr>
                <w:noProof/>
                <w:webHidden/>
              </w:rPr>
              <w:fldChar w:fldCharType="begin"/>
            </w:r>
            <w:r w:rsidR="009100BC">
              <w:rPr>
                <w:noProof/>
                <w:webHidden/>
              </w:rPr>
              <w:instrText xml:space="preserve"> PAGEREF _Toc102051233 \h </w:instrText>
            </w:r>
            <w:r w:rsidR="009100BC">
              <w:rPr>
                <w:noProof/>
                <w:webHidden/>
              </w:rPr>
            </w:r>
            <w:r w:rsidR="009100BC">
              <w:rPr>
                <w:noProof/>
                <w:webHidden/>
              </w:rPr>
              <w:fldChar w:fldCharType="separate"/>
            </w:r>
            <w:r w:rsidR="004219E9">
              <w:rPr>
                <w:noProof/>
                <w:webHidden/>
              </w:rPr>
              <w:t>65</w:t>
            </w:r>
            <w:r w:rsidR="009100BC">
              <w:rPr>
                <w:noProof/>
                <w:webHidden/>
              </w:rPr>
              <w:fldChar w:fldCharType="end"/>
            </w:r>
          </w:hyperlink>
        </w:p>
        <w:p w14:paraId="225460B3" w14:textId="28B6BDD2" w:rsidR="009100BC" w:rsidRDefault="0027114E">
          <w:pPr>
            <w:pStyle w:val="TDC2"/>
            <w:tabs>
              <w:tab w:val="right" w:pos="8828"/>
            </w:tabs>
            <w:rPr>
              <w:rFonts w:asciiTheme="minorHAnsi" w:eastAsiaTheme="minorEastAsia" w:hAnsiTheme="minorHAnsi" w:cstheme="minorBidi"/>
              <w:noProof/>
              <w:sz w:val="22"/>
              <w:szCs w:val="22"/>
            </w:rPr>
          </w:pPr>
          <w:hyperlink w:anchor="_Toc102051234" w:history="1">
            <w:r w:rsidR="009100BC" w:rsidRPr="00B04A11">
              <w:rPr>
                <w:rStyle w:val="Hipervnculo"/>
                <w:noProof/>
              </w:rPr>
              <w:t>Eje 4. Rendición de Cuentas y Anticorrupción</w:t>
            </w:r>
            <w:r w:rsidR="009100BC">
              <w:rPr>
                <w:noProof/>
                <w:webHidden/>
              </w:rPr>
              <w:tab/>
            </w:r>
            <w:r w:rsidR="009100BC">
              <w:rPr>
                <w:noProof/>
                <w:webHidden/>
              </w:rPr>
              <w:fldChar w:fldCharType="begin"/>
            </w:r>
            <w:r w:rsidR="009100BC">
              <w:rPr>
                <w:noProof/>
                <w:webHidden/>
              </w:rPr>
              <w:instrText xml:space="preserve"> PAGEREF _Toc102051234 \h </w:instrText>
            </w:r>
            <w:r w:rsidR="009100BC">
              <w:rPr>
                <w:noProof/>
                <w:webHidden/>
              </w:rPr>
            </w:r>
            <w:r w:rsidR="009100BC">
              <w:rPr>
                <w:noProof/>
                <w:webHidden/>
              </w:rPr>
              <w:fldChar w:fldCharType="separate"/>
            </w:r>
            <w:r w:rsidR="004219E9">
              <w:rPr>
                <w:noProof/>
                <w:webHidden/>
              </w:rPr>
              <w:t>71</w:t>
            </w:r>
            <w:r w:rsidR="009100BC">
              <w:rPr>
                <w:noProof/>
                <w:webHidden/>
              </w:rPr>
              <w:fldChar w:fldCharType="end"/>
            </w:r>
          </w:hyperlink>
        </w:p>
        <w:p w14:paraId="1A0E79EA" w14:textId="7097A6F6" w:rsidR="009100BC" w:rsidRDefault="0027114E">
          <w:pPr>
            <w:pStyle w:val="TDC2"/>
            <w:tabs>
              <w:tab w:val="right" w:pos="8828"/>
            </w:tabs>
            <w:rPr>
              <w:rFonts w:asciiTheme="minorHAnsi" w:eastAsiaTheme="minorEastAsia" w:hAnsiTheme="minorHAnsi" w:cstheme="minorBidi"/>
              <w:noProof/>
              <w:sz w:val="22"/>
              <w:szCs w:val="22"/>
            </w:rPr>
          </w:pPr>
          <w:hyperlink w:anchor="_Toc102051235" w:history="1">
            <w:r w:rsidR="009100BC" w:rsidRPr="00B04A11">
              <w:rPr>
                <w:rStyle w:val="Hipervnculo"/>
                <w:noProof/>
              </w:rPr>
              <w:t>Eje 5. Actividad Materialmente Jurisdiccional de los Organismos Garantes</w:t>
            </w:r>
            <w:r w:rsidR="009100BC">
              <w:rPr>
                <w:noProof/>
                <w:webHidden/>
              </w:rPr>
              <w:tab/>
            </w:r>
            <w:r w:rsidR="009100BC">
              <w:rPr>
                <w:noProof/>
                <w:webHidden/>
              </w:rPr>
              <w:fldChar w:fldCharType="begin"/>
            </w:r>
            <w:r w:rsidR="009100BC">
              <w:rPr>
                <w:noProof/>
                <w:webHidden/>
              </w:rPr>
              <w:instrText xml:space="preserve"> PAGEREF _Toc102051235 \h </w:instrText>
            </w:r>
            <w:r w:rsidR="009100BC">
              <w:rPr>
                <w:noProof/>
                <w:webHidden/>
              </w:rPr>
            </w:r>
            <w:r w:rsidR="009100BC">
              <w:rPr>
                <w:noProof/>
                <w:webHidden/>
              </w:rPr>
              <w:fldChar w:fldCharType="separate"/>
            </w:r>
            <w:r w:rsidR="004219E9">
              <w:rPr>
                <w:noProof/>
                <w:webHidden/>
              </w:rPr>
              <w:t>75</w:t>
            </w:r>
            <w:r w:rsidR="009100BC">
              <w:rPr>
                <w:noProof/>
                <w:webHidden/>
              </w:rPr>
              <w:fldChar w:fldCharType="end"/>
            </w:r>
          </w:hyperlink>
        </w:p>
        <w:p w14:paraId="3867B30A" w14:textId="18D5BB6A" w:rsidR="009100BC" w:rsidRDefault="0027114E">
          <w:pPr>
            <w:pStyle w:val="TDC2"/>
            <w:tabs>
              <w:tab w:val="right" w:pos="8828"/>
            </w:tabs>
            <w:rPr>
              <w:rFonts w:asciiTheme="minorHAnsi" w:eastAsiaTheme="minorEastAsia" w:hAnsiTheme="minorHAnsi" w:cstheme="minorBidi"/>
              <w:noProof/>
              <w:sz w:val="22"/>
              <w:szCs w:val="22"/>
            </w:rPr>
          </w:pPr>
          <w:hyperlink w:anchor="_Toc102051236" w:history="1">
            <w:r w:rsidR="009100BC" w:rsidRPr="00B04A11">
              <w:rPr>
                <w:rStyle w:val="Hipervnculo"/>
                <w:noProof/>
              </w:rPr>
              <w:t>Eje Transversal A. Promoción, Difusión y Fomento de la Cultura de Transparencia y Acceso a la Información</w:t>
            </w:r>
            <w:r w:rsidR="009100BC">
              <w:rPr>
                <w:noProof/>
                <w:webHidden/>
              </w:rPr>
              <w:tab/>
            </w:r>
            <w:r w:rsidR="009100BC">
              <w:rPr>
                <w:noProof/>
                <w:webHidden/>
              </w:rPr>
              <w:fldChar w:fldCharType="begin"/>
            </w:r>
            <w:r w:rsidR="009100BC">
              <w:rPr>
                <w:noProof/>
                <w:webHidden/>
              </w:rPr>
              <w:instrText xml:space="preserve"> PAGEREF _Toc102051236 \h </w:instrText>
            </w:r>
            <w:r w:rsidR="009100BC">
              <w:rPr>
                <w:noProof/>
                <w:webHidden/>
              </w:rPr>
            </w:r>
            <w:r w:rsidR="009100BC">
              <w:rPr>
                <w:noProof/>
                <w:webHidden/>
              </w:rPr>
              <w:fldChar w:fldCharType="separate"/>
            </w:r>
            <w:r w:rsidR="004219E9">
              <w:rPr>
                <w:noProof/>
                <w:webHidden/>
              </w:rPr>
              <w:t>81</w:t>
            </w:r>
            <w:r w:rsidR="009100BC">
              <w:rPr>
                <w:noProof/>
                <w:webHidden/>
              </w:rPr>
              <w:fldChar w:fldCharType="end"/>
            </w:r>
          </w:hyperlink>
        </w:p>
        <w:p w14:paraId="7D4C66D6" w14:textId="02D3A640" w:rsidR="009100BC" w:rsidRDefault="0027114E">
          <w:pPr>
            <w:pStyle w:val="TDC2"/>
            <w:tabs>
              <w:tab w:val="right" w:pos="8828"/>
            </w:tabs>
            <w:rPr>
              <w:rFonts w:asciiTheme="minorHAnsi" w:eastAsiaTheme="minorEastAsia" w:hAnsiTheme="minorHAnsi" w:cstheme="minorBidi"/>
              <w:noProof/>
              <w:sz w:val="22"/>
              <w:szCs w:val="22"/>
            </w:rPr>
          </w:pPr>
          <w:hyperlink w:anchor="_Toc102051237" w:history="1">
            <w:r w:rsidR="009100BC" w:rsidRPr="00B04A11">
              <w:rPr>
                <w:rStyle w:val="Hipervnculo"/>
                <w:noProof/>
              </w:rPr>
              <w:t>Eje Transversal B. Derechos Humanos, Enfoque de Género e Inclusión Social</w:t>
            </w:r>
            <w:r w:rsidR="009100BC">
              <w:rPr>
                <w:noProof/>
                <w:webHidden/>
              </w:rPr>
              <w:tab/>
            </w:r>
            <w:r w:rsidR="009100BC">
              <w:rPr>
                <w:noProof/>
                <w:webHidden/>
              </w:rPr>
              <w:fldChar w:fldCharType="begin"/>
            </w:r>
            <w:r w:rsidR="009100BC">
              <w:rPr>
                <w:noProof/>
                <w:webHidden/>
              </w:rPr>
              <w:instrText xml:space="preserve"> PAGEREF _Toc102051237 \h </w:instrText>
            </w:r>
            <w:r w:rsidR="009100BC">
              <w:rPr>
                <w:noProof/>
                <w:webHidden/>
              </w:rPr>
            </w:r>
            <w:r w:rsidR="009100BC">
              <w:rPr>
                <w:noProof/>
                <w:webHidden/>
              </w:rPr>
              <w:fldChar w:fldCharType="separate"/>
            </w:r>
            <w:r w:rsidR="004219E9">
              <w:rPr>
                <w:noProof/>
                <w:webHidden/>
              </w:rPr>
              <w:t>86</w:t>
            </w:r>
            <w:r w:rsidR="009100BC">
              <w:rPr>
                <w:noProof/>
                <w:webHidden/>
              </w:rPr>
              <w:fldChar w:fldCharType="end"/>
            </w:r>
          </w:hyperlink>
        </w:p>
        <w:p w14:paraId="771228A2" w14:textId="1232E931" w:rsidR="009100BC" w:rsidRDefault="0027114E">
          <w:pPr>
            <w:pStyle w:val="TDC2"/>
            <w:tabs>
              <w:tab w:val="right" w:pos="8828"/>
            </w:tabs>
            <w:rPr>
              <w:rFonts w:asciiTheme="minorHAnsi" w:eastAsiaTheme="minorEastAsia" w:hAnsiTheme="minorHAnsi" w:cstheme="minorBidi"/>
              <w:noProof/>
              <w:sz w:val="22"/>
              <w:szCs w:val="22"/>
            </w:rPr>
          </w:pPr>
          <w:hyperlink w:anchor="_Toc102051238" w:history="1">
            <w:r w:rsidR="009100BC" w:rsidRPr="00B04A11">
              <w:rPr>
                <w:rStyle w:val="Hipervnculo"/>
                <w:noProof/>
              </w:rPr>
              <w:t>Eje Transversal C. Profesionalización y Fortalecimiento Institucional</w:t>
            </w:r>
            <w:r w:rsidR="009100BC">
              <w:rPr>
                <w:noProof/>
                <w:webHidden/>
              </w:rPr>
              <w:tab/>
            </w:r>
            <w:r w:rsidR="009100BC">
              <w:rPr>
                <w:noProof/>
                <w:webHidden/>
              </w:rPr>
              <w:fldChar w:fldCharType="begin"/>
            </w:r>
            <w:r w:rsidR="009100BC">
              <w:rPr>
                <w:noProof/>
                <w:webHidden/>
              </w:rPr>
              <w:instrText xml:space="preserve"> PAGEREF _Toc102051238 \h </w:instrText>
            </w:r>
            <w:r w:rsidR="009100BC">
              <w:rPr>
                <w:noProof/>
                <w:webHidden/>
              </w:rPr>
            </w:r>
            <w:r w:rsidR="009100BC">
              <w:rPr>
                <w:noProof/>
                <w:webHidden/>
              </w:rPr>
              <w:fldChar w:fldCharType="separate"/>
            </w:r>
            <w:r w:rsidR="004219E9">
              <w:rPr>
                <w:noProof/>
                <w:webHidden/>
              </w:rPr>
              <w:t>94</w:t>
            </w:r>
            <w:r w:rsidR="009100BC">
              <w:rPr>
                <w:noProof/>
                <w:webHidden/>
              </w:rPr>
              <w:fldChar w:fldCharType="end"/>
            </w:r>
          </w:hyperlink>
        </w:p>
        <w:p w14:paraId="0EADC9AA" w14:textId="22B14179" w:rsidR="009100BC" w:rsidRDefault="0027114E">
          <w:pPr>
            <w:pStyle w:val="TDC2"/>
            <w:tabs>
              <w:tab w:val="right" w:pos="8828"/>
            </w:tabs>
            <w:rPr>
              <w:rFonts w:asciiTheme="minorHAnsi" w:eastAsiaTheme="minorEastAsia" w:hAnsiTheme="minorHAnsi" w:cstheme="minorBidi"/>
              <w:noProof/>
              <w:sz w:val="22"/>
              <w:szCs w:val="22"/>
            </w:rPr>
          </w:pPr>
          <w:hyperlink w:anchor="_Toc102051239" w:history="1">
            <w:r w:rsidR="009100BC" w:rsidRPr="00B04A11">
              <w:rPr>
                <w:rStyle w:val="Hipervnculo"/>
                <w:noProof/>
              </w:rPr>
              <w:t>Implementación y Seguimiento del PROTAI</w:t>
            </w:r>
            <w:r w:rsidR="009100BC">
              <w:rPr>
                <w:noProof/>
                <w:webHidden/>
              </w:rPr>
              <w:tab/>
            </w:r>
            <w:r w:rsidR="009100BC">
              <w:rPr>
                <w:noProof/>
                <w:webHidden/>
              </w:rPr>
              <w:fldChar w:fldCharType="begin"/>
            </w:r>
            <w:r w:rsidR="009100BC">
              <w:rPr>
                <w:noProof/>
                <w:webHidden/>
              </w:rPr>
              <w:instrText xml:space="preserve"> PAGEREF _Toc102051239 \h </w:instrText>
            </w:r>
            <w:r w:rsidR="009100BC">
              <w:rPr>
                <w:noProof/>
                <w:webHidden/>
              </w:rPr>
            </w:r>
            <w:r w:rsidR="009100BC">
              <w:rPr>
                <w:noProof/>
                <w:webHidden/>
              </w:rPr>
              <w:fldChar w:fldCharType="separate"/>
            </w:r>
            <w:r w:rsidR="004219E9">
              <w:rPr>
                <w:noProof/>
                <w:webHidden/>
              </w:rPr>
              <w:t>102</w:t>
            </w:r>
            <w:r w:rsidR="009100BC">
              <w:rPr>
                <w:noProof/>
                <w:webHidden/>
              </w:rPr>
              <w:fldChar w:fldCharType="end"/>
            </w:r>
          </w:hyperlink>
        </w:p>
        <w:p w14:paraId="3C1E2725" w14:textId="271144B5" w:rsidR="009100BC" w:rsidRDefault="0027114E">
          <w:pPr>
            <w:pStyle w:val="TDC3"/>
            <w:tabs>
              <w:tab w:val="right" w:pos="8828"/>
            </w:tabs>
            <w:rPr>
              <w:rFonts w:asciiTheme="minorHAnsi" w:eastAsiaTheme="minorEastAsia" w:hAnsiTheme="minorHAnsi" w:cstheme="minorBidi"/>
              <w:noProof/>
              <w:sz w:val="22"/>
              <w:szCs w:val="22"/>
            </w:rPr>
          </w:pPr>
          <w:hyperlink w:anchor="_Toc102051240" w:history="1">
            <w:r w:rsidR="009100BC" w:rsidRPr="00B04A11">
              <w:rPr>
                <w:rStyle w:val="Hipervnculo"/>
                <w:noProof/>
              </w:rPr>
              <w:t>1. Ejecución</w:t>
            </w:r>
            <w:r w:rsidR="009100BC">
              <w:rPr>
                <w:noProof/>
                <w:webHidden/>
              </w:rPr>
              <w:tab/>
            </w:r>
            <w:r w:rsidR="009100BC">
              <w:rPr>
                <w:noProof/>
                <w:webHidden/>
              </w:rPr>
              <w:fldChar w:fldCharType="begin"/>
            </w:r>
            <w:r w:rsidR="009100BC">
              <w:rPr>
                <w:noProof/>
                <w:webHidden/>
              </w:rPr>
              <w:instrText xml:space="preserve"> PAGEREF _Toc102051240 \h </w:instrText>
            </w:r>
            <w:r w:rsidR="009100BC">
              <w:rPr>
                <w:noProof/>
                <w:webHidden/>
              </w:rPr>
            </w:r>
            <w:r w:rsidR="009100BC">
              <w:rPr>
                <w:noProof/>
                <w:webHidden/>
              </w:rPr>
              <w:fldChar w:fldCharType="separate"/>
            </w:r>
            <w:r w:rsidR="004219E9">
              <w:rPr>
                <w:noProof/>
                <w:webHidden/>
              </w:rPr>
              <w:t>102</w:t>
            </w:r>
            <w:r w:rsidR="009100BC">
              <w:rPr>
                <w:noProof/>
                <w:webHidden/>
              </w:rPr>
              <w:fldChar w:fldCharType="end"/>
            </w:r>
          </w:hyperlink>
        </w:p>
        <w:p w14:paraId="6BD08C9B" w14:textId="0BEEF999" w:rsidR="009100BC" w:rsidRDefault="0027114E">
          <w:pPr>
            <w:pStyle w:val="TDC3"/>
            <w:tabs>
              <w:tab w:val="right" w:pos="8828"/>
            </w:tabs>
            <w:rPr>
              <w:rFonts w:asciiTheme="minorHAnsi" w:eastAsiaTheme="minorEastAsia" w:hAnsiTheme="minorHAnsi" w:cstheme="minorBidi"/>
              <w:noProof/>
              <w:sz w:val="22"/>
              <w:szCs w:val="22"/>
            </w:rPr>
          </w:pPr>
          <w:hyperlink w:anchor="_Toc102051241" w:history="1">
            <w:r w:rsidR="009100BC" w:rsidRPr="00B04A11">
              <w:rPr>
                <w:rStyle w:val="Hipervnculo"/>
                <w:noProof/>
              </w:rPr>
              <w:t>2. Seguimiento</w:t>
            </w:r>
            <w:r w:rsidR="009100BC">
              <w:rPr>
                <w:noProof/>
                <w:webHidden/>
              </w:rPr>
              <w:tab/>
            </w:r>
            <w:r w:rsidR="009100BC">
              <w:rPr>
                <w:noProof/>
                <w:webHidden/>
              </w:rPr>
              <w:fldChar w:fldCharType="begin"/>
            </w:r>
            <w:r w:rsidR="009100BC">
              <w:rPr>
                <w:noProof/>
                <w:webHidden/>
              </w:rPr>
              <w:instrText xml:space="preserve"> PAGEREF _Toc102051241 \h </w:instrText>
            </w:r>
            <w:r w:rsidR="009100BC">
              <w:rPr>
                <w:noProof/>
                <w:webHidden/>
              </w:rPr>
            </w:r>
            <w:r w:rsidR="009100BC">
              <w:rPr>
                <w:noProof/>
                <w:webHidden/>
              </w:rPr>
              <w:fldChar w:fldCharType="separate"/>
            </w:r>
            <w:r w:rsidR="004219E9">
              <w:rPr>
                <w:noProof/>
                <w:webHidden/>
              </w:rPr>
              <w:t>104</w:t>
            </w:r>
            <w:r w:rsidR="009100BC">
              <w:rPr>
                <w:noProof/>
                <w:webHidden/>
              </w:rPr>
              <w:fldChar w:fldCharType="end"/>
            </w:r>
          </w:hyperlink>
        </w:p>
        <w:p w14:paraId="3AAF122A" w14:textId="542C3152" w:rsidR="009100BC" w:rsidRDefault="0027114E">
          <w:pPr>
            <w:pStyle w:val="TDC3"/>
            <w:tabs>
              <w:tab w:val="right" w:pos="8828"/>
            </w:tabs>
            <w:rPr>
              <w:rFonts w:asciiTheme="minorHAnsi" w:eastAsiaTheme="minorEastAsia" w:hAnsiTheme="minorHAnsi" w:cstheme="minorBidi"/>
              <w:noProof/>
              <w:sz w:val="22"/>
              <w:szCs w:val="22"/>
            </w:rPr>
          </w:pPr>
          <w:hyperlink w:anchor="_Toc102051242" w:history="1">
            <w:r w:rsidR="009100BC" w:rsidRPr="00B04A11">
              <w:rPr>
                <w:rStyle w:val="Hipervnculo"/>
                <w:noProof/>
              </w:rPr>
              <w:t>3. Actualización y Evaluación</w:t>
            </w:r>
            <w:r w:rsidR="009100BC">
              <w:rPr>
                <w:noProof/>
                <w:webHidden/>
              </w:rPr>
              <w:tab/>
            </w:r>
            <w:r w:rsidR="009100BC">
              <w:rPr>
                <w:noProof/>
                <w:webHidden/>
              </w:rPr>
              <w:fldChar w:fldCharType="begin"/>
            </w:r>
            <w:r w:rsidR="009100BC">
              <w:rPr>
                <w:noProof/>
                <w:webHidden/>
              </w:rPr>
              <w:instrText xml:space="preserve"> PAGEREF _Toc102051242 \h </w:instrText>
            </w:r>
            <w:r w:rsidR="009100BC">
              <w:rPr>
                <w:noProof/>
                <w:webHidden/>
              </w:rPr>
            </w:r>
            <w:r w:rsidR="009100BC">
              <w:rPr>
                <w:noProof/>
                <w:webHidden/>
              </w:rPr>
              <w:fldChar w:fldCharType="separate"/>
            </w:r>
            <w:r w:rsidR="004219E9">
              <w:rPr>
                <w:noProof/>
                <w:webHidden/>
              </w:rPr>
              <w:t>106</w:t>
            </w:r>
            <w:r w:rsidR="009100BC">
              <w:rPr>
                <w:noProof/>
                <w:webHidden/>
              </w:rPr>
              <w:fldChar w:fldCharType="end"/>
            </w:r>
          </w:hyperlink>
        </w:p>
        <w:p w14:paraId="6958B8D6" w14:textId="73470E71" w:rsidR="009100BC" w:rsidRDefault="0027114E">
          <w:pPr>
            <w:pStyle w:val="TDC2"/>
            <w:tabs>
              <w:tab w:val="right" w:pos="8828"/>
            </w:tabs>
            <w:rPr>
              <w:rFonts w:asciiTheme="minorHAnsi" w:eastAsiaTheme="minorEastAsia" w:hAnsiTheme="minorHAnsi" w:cstheme="minorBidi"/>
              <w:noProof/>
              <w:sz w:val="22"/>
              <w:szCs w:val="22"/>
            </w:rPr>
          </w:pPr>
          <w:hyperlink w:anchor="_Toc102051243" w:history="1">
            <w:r w:rsidR="009100BC" w:rsidRPr="00B04A11">
              <w:rPr>
                <w:rStyle w:val="Hipervnculo"/>
                <w:noProof/>
              </w:rPr>
              <w:t>Perspectivas del PROTAI</w:t>
            </w:r>
            <w:r w:rsidR="009100BC">
              <w:rPr>
                <w:noProof/>
                <w:webHidden/>
              </w:rPr>
              <w:tab/>
            </w:r>
            <w:r w:rsidR="009100BC">
              <w:rPr>
                <w:noProof/>
                <w:webHidden/>
              </w:rPr>
              <w:fldChar w:fldCharType="begin"/>
            </w:r>
            <w:r w:rsidR="009100BC">
              <w:rPr>
                <w:noProof/>
                <w:webHidden/>
              </w:rPr>
              <w:instrText xml:space="preserve"> PAGEREF _Toc102051243 \h </w:instrText>
            </w:r>
            <w:r w:rsidR="009100BC">
              <w:rPr>
                <w:noProof/>
                <w:webHidden/>
              </w:rPr>
            </w:r>
            <w:r w:rsidR="009100BC">
              <w:rPr>
                <w:noProof/>
                <w:webHidden/>
              </w:rPr>
              <w:fldChar w:fldCharType="separate"/>
            </w:r>
            <w:r w:rsidR="004219E9">
              <w:rPr>
                <w:noProof/>
                <w:webHidden/>
              </w:rPr>
              <w:t>108</w:t>
            </w:r>
            <w:r w:rsidR="009100BC">
              <w:rPr>
                <w:noProof/>
                <w:webHidden/>
              </w:rPr>
              <w:fldChar w:fldCharType="end"/>
            </w:r>
          </w:hyperlink>
        </w:p>
        <w:p w14:paraId="0BB7D2F2" w14:textId="51ACF3A2" w:rsidR="009100BC" w:rsidRDefault="0027114E">
          <w:pPr>
            <w:pStyle w:val="TDC2"/>
            <w:tabs>
              <w:tab w:val="right" w:pos="8828"/>
            </w:tabs>
            <w:rPr>
              <w:rFonts w:asciiTheme="minorHAnsi" w:eastAsiaTheme="minorEastAsia" w:hAnsiTheme="minorHAnsi" w:cstheme="minorBidi"/>
              <w:noProof/>
              <w:sz w:val="22"/>
              <w:szCs w:val="22"/>
            </w:rPr>
          </w:pPr>
          <w:hyperlink w:anchor="_Toc102051244" w:history="1">
            <w:r w:rsidR="009100BC" w:rsidRPr="00B04A11">
              <w:rPr>
                <w:rStyle w:val="Hipervnculo"/>
                <w:noProof/>
              </w:rPr>
              <w:t>GLOSARIO</w:t>
            </w:r>
            <w:r w:rsidR="009100BC">
              <w:rPr>
                <w:noProof/>
                <w:webHidden/>
              </w:rPr>
              <w:tab/>
            </w:r>
            <w:r w:rsidR="009100BC">
              <w:rPr>
                <w:noProof/>
                <w:webHidden/>
              </w:rPr>
              <w:fldChar w:fldCharType="begin"/>
            </w:r>
            <w:r w:rsidR="009100BC">
              <w:rPr>
                <w:noProof/>
                <w:webHidden/>
              </w:rPr>
              <w:instrText xml:space="preserve"> PAGEREF _Toc102051244 \h </w:instrText>
            </w:r>
            <w:r w:rsidR="009100BC">
              <w:rPr>
                <w:noProof/>
                <w:webHidden/>
              </w:rPr>
            </w:r>
            <w:r w:rsidR="009100BC">
              <w:rPr>
                <w:noProof/>
                <w:webHidden/>
              </w:rPr>
              <w:fldChar w:fldCharType="separate"/>
            </w:r>
            <w:r w:rsidR="004219E9">
              <w:rPr>
                <w:noProof/>
                <w:webHidden/>
              </w:rPr>
              <w:t>111</w:t>
            </w:r>
            <w:r w:rsidR="009100BC">
              <w:rPr>
                <w:noProof/>
                <w:webHidden/>
              </w:rPr>
              <w:fldChar w:fldCharType="end"/>
            </w:r>
          </w:hyperlink>
        </w:p>
        <w:p w14:paraId="2624424A" w14:textId="15F4F5BA" w:rsidR="009100BC" w:rsidRDefault="0027114E">
          <w:pPr>
            <w:pStyle w:val="TDC2"/>
            <w:tabs>
              <w:tab w:val="right" w:pos="8828"/>
            </w:tabs>
            <w:rPr>
              <w:rFonts w:asciiTheme="minorHAnsi" w:eastAsiaTheme="minorEastAsia" w:hAnsiTheme="minorHAnsi" w:cstheme="minorBidi"/>
              <w:noProof/>
              <w:sz w:val="22"/>
              <w:szCs w:val="22"/>
            </w:rPr>
          </w:pPr>
          <w:hyperlink w:anchor="_Toc102051245" w:history="1">
            <w:r w:rsidR="009100BC" w:rsidRPr="00B04A11">
              <w:rPr>
                <w:rStyle w:val="Hipervnculo"/>
                <w:noProof/>
              </w:rPr>
              <w:t>Anexo 1. Fichas de Indicadores de Objetivos Estratégicos del PROTAI</w:t>
            </w:r>
            <w:r w:rsidR="009100BC">
              <w:rPr>
                <w:noProof/>
                <w:webHidden/>
              </w:rPr>
              <w:tab/>
            </w:r>
            <w:r w:rsidR="009100BC">
              <w:rPr>
                <w:noProof/>
                <w:webHidden/>
              </w:rPr>
              <w:fldChar w:fldCharType="begin"/>
            </w:r>
            <w:r w:rsidR="009100BC">
              <w:rPr>
                <w:noProof/>
                <w:webHidden/>
              </w:rPr>
              <w:instrText xml:space="preserve"> PAGEREF _Toc102051245 \h </w:instrText>
            </w:r>
            <w:r w:rsidR="009100BC">
              <w:rPr>
                <w:noProof/>
                <w:webHidden/>
              </w:rPr>
            </w:r>
            <w:r w:rsidR="009100BC">
              <w:rPr>
                <w:noProof/>
                <w:webHidden/>
              </w:rPr>
              <w:fldChar w:fldCharType="separate"/>
            </w:r>
            <w:r w:rsidR="004219E9">
              <w:rPr>
                <w:noProof/>
                <w:webHidden/>
              </w:rPr>
              <w:t>118</w:t>
            </w:r>
            <w:r w:rsidR="009100BC">
              <w:rPr>
                <w:noProof/>
                <w:webHidden/>
              </w:rPr>
              <w:fldChar w:fldCharType="end"/>
            </w:r>
          </w:hyperlink>
        </w:p>
        <w:p w14:paraId="580FE972" w14:textId="6314FC86" w:rsidR="009100BC" w:rsidRDefault="0027114E">
          <w:pPr>
            <w:pStyle w:val="TDC4"/>
            <w:tabs>
              <w:tab w:val="right" w:pos="8828"/>
            </w:tabs>
            <w:rPr>
              <w:rFonts w:asciiTheme="minorHAnsi" w:eastAsiaTheme="minorEastAsia" w:hAnsiTheme="minorHAnsi" w:cstheme="minorBidi"/>
              <w:noProof/>
            </w:rPr>
          </w:pPr>
          <w:hyperlink w:anchor="_Toc102051246" w:history="1">
            <w:r w:rsidR="009100BC" w:rsidRPr="00B04A11">
              <w:rPr>
                <w:rStyle w:val="Hipervnculo"/>
                <w:rFonts w:ascii="Times New Roman" w:eastAsia="Times New Roman" w:hAnsi="Times New Roman" w:cs="Times New Roman"/>
                <w:noProof/>
              </w:rPr>
              <w:t>FICHA INDICADOR 1.1. Índice de control de la gestión documental</w:t>
            </w:r>
            <w:r w:rsidR="009100BC">
              <w:rPr>
                <w:noProof/>
                <w:webHidden/>
              </w:rPr>
              <w:tab/>
            </w:r>
            <w:r w:rsidR="009100BC">
              <w:rPr>
                <w:noProof/>
                <w:webHidden/>
              </w:rPr>
              <w:fldChar w:fldCharType="begin"/>
            </w:r>
            <w:r w:rsidR="009100BC">
              <w:rPr>
                <w:noProof/>
                <w:webHidden/>
              </w:rPr>
              <w:instrText xml:space="preserve"> PAGEREF _Toc102051246 \h </w:instrText>
            </w:r>
            <w:r w:rsidR="009100BC">
              <w:rPr>
                <w:noProof/>
                <w:webHidden/>
              </w:rPr>
            </w:r>
            <w:r w:rsidR="009100BC">
              <w:rPr>
                <w:noProof/>
                <w:webHidden/>
              </w:rPr>
              <w:fldChar w:fldCharType="separate"/>
            </w:r>
            <w:r w:rsidR="004219E9">
              <w:rPr>
                <w:noProof/>
                <w:webHidden/>
              </w:rPr>
              <w:t>118</w:t>
            </w:r>
            <w:r w:rsidR="009100BC">
              <w:rPr>
                <w:noProof/>
                <w:webHidden/>
              </w:rPr>
              <w:fldChar w:fldCharType="end"/>
            </w:r>
          </w:hyperlink>
        </w:p>
        <w:p w14:paraId="757BAF13" w14:textId="2BBF5AA3" w:rsidR="009100BC" w:rsidRDefault="0027114E">
          <w:pPr>
            <w:pStyle w:val="TDC4"/>
            <w:tabs>
              <w:tab w:val="right" w:pos="8828"/>
            </w:tabs>
            <w:rPr>
              <w:rFonts w:asciiTheme="minorHAnsi" w:eastAsiaTheme="minorEastAsia" w:hAnsiTheme="minorHAnsi" w:cstheme="minorBidi"/>
              <w:noProof/>
            </w:rPr>
          </w:pPr>
          <w:hyperlink w:anchor="_Toc102051247" w:history="1">
            <w:r w:rsidR="009100BC" w:rsidRPr="00B04A11">
              <w:rPr>
                <w:rStyle w:val="Hipervnculo"/>
                <w:rFonts w:ascii="Times New Roman" w:eastAsia="Times New Roman" w:hAnsi="Times New Roman" w:cs="Times New Roman"/>
                <w:noProof/>
              </w:rPr>
              <w:t>FICHA INDICADOR 2.1. Porcentaje de avance del indicador de Acceso a la Información del Gobierno de la Métrica de Gobierno Abierto</w:t>
            </w:r>
            <w:r w:rsidR="009100BC">
              <w:rPr>
                <w:noProof/>
                <w:webHidden/>
              </w:rPr>
              <w:tab/>
            </w:r>
            <w:r w:rsidR="009100BC">
              <w:rPr>
                <w:noProof/>
                <w:webHidden/>
              </w:rPr>
              <w:fldChar w:fldCharType="begin"/>
            </w:r>
            <w:r w:rsidR="009100BC">
              <w:rPr>
                <w:noProof/>
                <w:webHidden/>
              </w:rPr>
              <w:instrText xml:space="preserve"> PAGEREF _Toc102051247 \h </w:instrText>
            </w:r>
            <w:r w:rsidR="009100BC">
              <w:rPr>
                <w:noProof/>
                <w:webHidden/>
              </w:rPr>
            </w:r>
            <w:r w:rsidR="009100BC">
              <w:rPr>
                <w:noProof/>
                <w:webHidden/>
              </w:rPr>
              <w:fldChar w:fldCharType="separate"/>
            </w:r>
            <w:r w:rsidR="004219E9">
              <w:rPr>
                <w:noProof/>
                <w:webHidden/>
              </w:rPr>
              <w:t>121</w:t>
            </w:r>
            <w:r w:rsidR="009100BC">
              <w:rPr>
                <w:noProof/>
                <w:webHidden/>
              </w:rPr>
              <w:fldChar w:fldCharType="end"/>
            </w:r>
          </w:hyperlink>
        </w:p>
        <w:p w14:paraId="24F864FD" w14:textId="44E49EFB" w:rsidR="009100BC" w:rsidRDefault="0027114E">
          <w:pPr>
            <w:pStyle w:val="TDC4"/>
            <w:tabs>
              <w:tab w:val="right" w:pos="8828"/>
            </w:tabs>
            <w:rPr>
              <w:rFonts w:asciiTheme="minorHAnsi" w:eastAsiaTheme="minorEastAsia" w:hAnsiTheme="minorHAnsi" w:cstheme="minorBidi"/>
              <w:noProof/>
            </w:rPr>
          </w:pPr>
          <w:hyperlink w:anchor="_Toc102051248" w:history="1">
            <w:r w:rsidR="009100BC" w:rsidRPr="00B04A11">
              <w:rPr>
                <w:rStyle w:val="Hipervnculo"/>
                <w:rFonts w:ascii="Times New Roman" w:eastAsia="Times New Roman" w:hAnsi="Times New Roman" w:cs="Times New Roman"/>
                <w:noProof/>
              </w:rPr>
              <w:t>FICHA INDICADOR 3.1. Porcentaje de avance del Subíndice de Participación de la Métrica de Gobierno Abierto.</w:t>
            </w:r>
            <w:r w:rsidR="009100BC">
              <w:rPr>
                <w:noProof/>
                <w:webHidden/>
              </w:rPr>
              <w:tab/>
            </w:r>
            <w:r w:rsidR="009100BC">
              <w:rPr>
                <w:noProof/>
                <w:webHidden/>
              </w:rPr>
              <w:fldChar w:fldCharType="begin"/>
            </w:r>
            <w:r w:rsidR="009100BC">
              <w:rPr>
                <w:noProof/>
                <w:webHidden/>
              </w:rPr>
              <w:instrText xml:space="preserve"> PAGEREF _Toc102051248 \h </w:instrText>
            </w:r>
            <w:r w:rsidR="009100BC">
              <w:rPr>
                <w:noProof/>
                <w:webHidden/>
              </w:rPr>
            </w:r>
            <w:r w:rsidR="009100BC">
              <w:rPr>
                <w:noProof/>
                <w:webHidden/>
              </w:rPr>
              <w:fldChar w:fldCharType="separate"/>
            </w:r>
            <w:r w:rsidR="004219E9">
              <w:rPr>
                <w:noProof/>
                <w:webHidden/>
              </w:rPr>
              <w:t>123</w:t>
            </w:r>
            <w:r w:rsidR="009100BC">
              <w:rPr>
                <w:noProof/>
                <w:webHidden/>
              </w:rPr>
              <w:fldChar w:fldCharType="end"/>
            </w:r>
          </w:hyperlink>
        </w:p>
        <w:p w14:paraId="684705C4" w14:textId="3E2CEA17" w:rsidR="009100BC" w:rsidRDefault="0027114E">
          <w:pPr>
            <w:pStyle w:val="TDC4"/>
            <w:tabs>
              <w:tab w:val="right" w:pos="8828"/>
            </w:tabs>
            <w:rPr>
              <w:rFonts w:asciiTheme="minorHAnsi" w:eastAsiaTheme="minorEastAsia" w:hAnsiTheme="minorHAnsi" w:cstheme="minorBidi"/>
              <w:noProof/>
            </w:rPr>
          </w:pPr>
          <w:hyperlink w:anchor="_Toc102051249" w:history="1">
            <w:r w:rsidR="009100BC" w:rsidRPr="00B04A11">
              <w:rPr>
                <w:rStyle w:val="Hipervnculo"/>
                <w:rFonts w:ascii="Times New Roman" w:eastAsia="Times New Roman" w:hAnsi="Times New Roman" w:cs="Times New Roman"/>
                <w:noProof/>
              </w:rPr>
              <w:t>FICHA INDICADOR 3.2. Índice de uso de Infraestructura en Tecnologías de la Información de los Organismos Garantes</w:t>
            </w:r>
            <w:r w:rsidR="009100BC">
              <w:rPr>
                <w:noProof/>
                <w:webHidden/>
              </w:rPr>
              <w:tab/>
            </w:r>
            <w:r w:rsidR="009100BC">
              <w:rPr>
                <w:noProof/>
                <w:webHidden/>
              </w:rPr>
              <w:fldChar w:fldCharType="begin"/>
            </w:r>
            <w:r w:rsidR="009100BC">
              <w:rPr>
                <w:noProof/>
                <w:webHidden/>
              </w:rPr>
              <w:instrText xml:space="preserve"> PAGEREF _Toc102051249 \h </w:instrText>
            </w:r>
            <w:r w:rsidR="009100BC">
              <w:rPr>
                <w:noProof/>
                <w:webHidden/>
              </w:rPr>
            </w:r>
            <w:r w:rsidR="009100BC">
              <w:rPr>
                <w:noProof/>
                <w:webHidden/>
              </w:rPr>
              <w:fldChar w:fldCharType="separate"/>
            </w:r>
            <w:r w:rsidR="004219E9">
              <w:rPr>
                <w:noProof/>
                <w:webHidden/>
              </w:rPr>
              <w:t>125</w:t>
            </w:r>
            <w:r w:rsidR="009100BC">
              <w:rPr>
                <w:noProof/>
                <w:webHidden/>
              </w:rPr>
              <w:fldChar w:fldCharType="end"/>
            </w:r>
          </w:hyperlink>
        </w:p>
        <w:p w14:paraId="07B51177" w14:textId="6BC66067" w:rsidR="009100BC" w:rsidRDefault="0027114E">
          <w:pPr>
            <w:pStyle w:val="TDC4"/>
            <w:tabs>
              <w:tab w:val="right" w:pos="8828"/>
            </w:tabs>
            <w:rPr>
              <w:rFonts w:asciiTheme="minorHAnsi" w:eastAsiaTheme="minorEastAsia" w:hAnsiTheme="minorHAnsi" w:cstheme="minorBidi"/>
              <w:noProof/>
            </w:rPr>
          </w:pPr>
          <w:hyperlink w:anchor="_Toc102051250" w:history="1">
            <w:r w:rsidR="009100BC" w:rsidRPr="00B04A11">
              <w:rPr>
                <w:rStyle w:val="Hipervnculo"/>
                <w:rFonts w:ascii="Times New Roman" w:eastAsia="Times New Roman" w:hAnsi="Times New Roman" w:cs="Times New Roman"/>
                <w:noProof/>
              </w:rPr>
              <w:t>FICHA INDICADOR 3.3. Índice de promoción de transparencia proactiva.</w:t>
            </w:r>
            <w:r w:rsidR="009100BC">
              <w:rPr>
                <w:noProof/>
                <w:webHidden/>
              </w:rPr>
              <w:tab/>
            </w:r>
            <w:r w:rsidR="009100BC">
              <w:rPr>
                <w:noProof/>
                <w:webHidden/>
              </w:rPr>
              <w:fldChar w:fldCharType="begin"/>
            </w:r>
            <w:r w:rsidR="009100BC">
              <w:rPr>
                <w:noProof/>
                <w:webHidden/>
              </w:rPr>
              <w:instrText xml:space="preserve"> PAGEREF _Toc102051250 \h </w:instrText>
            </w:r>
            <w:r w:rsidR="009100BC">
              <w:rPr>
                <w:noProof/>
                <w:webHidden/>
              </w:rPr>
            </w:r>
            <w:r w:rsidR="009100BC">
              <w:rPr>
                <w:noProof/>
                <w:webHidden/>
              </w:rPr>
              <w:fldChar w:fldCharType="separate"/>
            </w:r>
            <w:r w:rsidR="004219E9">
              <w:rPr>
                <w:noProof/>
                <w:webHidden/>
              </w:rPr>
              <w:t>128</w:t>
            </w:r>
            <w:r w:rsidR="009100BC">
              <w:rPr>
                <w:noProof/>
                <w:webHidden/>
              </w:rPr>
              <w:fldChar w:fldCharType="end"/>
            </w:r>
          </w:hyperlink>
        </w:p>
        <w:p w14:paraId="486BACDD" w14:textId="5D91FB2B" w:rsidR="009100BC" w:rsidRDefault="0027114E">
          <w:pPr>
            <w:pStyle w:val="TDC4"/>
            <w:tabs>
              <w:tab w:val="right" w:pos="8828"/>
            </w:tabs>
            <w:rPr>
              <w:rFonts w:asciiTheme="minorHAnsi" w:eastAsiaTheme="minorEastAsia" w:hAnsiTheme="minorHAnsi" w:cstheme="minorBidi"/>
              <w:noProof/>
            </w:rPr>
          </w:pPr>
          <w:hyperlink w:anchor="_Toc102051251" w:history="1">
            <w:r w:rsidR="009100BC" w:rsidRPr="00B04A11">
              <w:rPr>
                <w:rStyle w:val="Hipervnculo"/>
                <w:rFonts w:ascii="Times New Roman" w:eastAsia="Times New Roman" w:hAnsi="Times New Roman" w:cs="Times New Roman"/>
                <w:noProof/>
              </w:rPr>
              <w:t>FICHA INDICADOR 3.4. Porcentaje de avance en el indicador de Transparencia Activa de la Métrica de Gobierno Abierto</w:t>
            </w:r>
            <w:r w:rsidR="009100BC">
              <w:rPr>
                <w:noProof/>
                <w:webHidden/>
              </w:rPr>
              <w:tab/>
            </w:r>
            <w:r w:rsidR="009100BC">
              <w:rPr>
                <w:noProof/>
                <w:webHidden/>
              </w:rPr>
              <w:fldChar w:fldCharType="begin"/>
            </w:r>
            <w:r w:rsidR="009100BC">
              <w:rPr>
                <w:noProof/>
                <w:webHidden/>
              </w:rPr>
              <w:instrText xml:space="preserve"> PAGEREF _Toc102051251 \h </w:instrText>
            </w:r>
            <w:r w:rsidR="009100BC">
              <w:rPr>
                <w:noProof/>
                <w:webHidden/>
              </w:rPr>
            </w:r>
            <w:r w:rsidR="009100BC">
              <w:rPr>
                <w:noProof/>
                <w:webHidden/>
              </w:rPr>
              <w:fldChar w:fldCharType="separate"/>
            </w:r>
            <w:r w:rsidR="004219E9">
              <w:rPr>
                <w:noProof/>
                <w:webHidden/>
              </w:rPr>
              <w:t>131</w:t>
            </w:r>
            <w:r w:rsidR="009100BC">
              <w:rPr>
                <w:noProof/>
                <w:webHidden/>
              </w:rPr>
              <w:fldChar w:fldCharType="end"/>
            </w:r>
          </w:hyperlink>
        </w:p>
        <w:p w14:paraId="65D381AF" w14:textId="50F37541" w:rsidR="009100BC" w:rsidRDefault="0027114E">
          <w:pPr>
            <w:pStyle w:val="TDC4"/>
            <w:tabs>
              <w:tab w:val="right" w:pos="8828"/>
            </w:tabs>
            <w:rPr>
              <w:rFonts w:asciiTheme="minorHAnsi" w:eastAsiaTheme="minorEastAsia" w:hAnsiTheme="minorHAnsi" w:cstheme="minorBidi"/>
              <w:noProof/>
            </w:rPr>
          </w:pPr>
          <w:hyperlink w:anchor="_Toc102051252" w:history="1">
            <w:r w:rsidR="009100BC" w:rsidRPr="00B04A11">
              <w:rPr>
                <w:rStyle w:val="Hipervnculo"/>
                <w:rFonts w:ascii="Times New Roman" w:eastAsia="Times New Roman" w:hAnsi="Times New Roman" w:cs="Times New Roman"/>
                <w:noProof/>
              </w:rPr>
              <w:t>FICHA INDICADOR 3.5. Porcentaje de avance en el indicador de Datos Abiertos de la Métrica de Gobierno Abierto</w:t>
            </w:r>
            <w:r w:rsidR="009100BC">
              <w:rPr>
                <w:noProof/>
                <w:webHidden/>
              </w:rPr>
              <w:tab/>
            </w:r>
            <w:r w:rsidR="009100BC">
              <w:rPr>
                <w:noProof/>
                <w:webHidden/>
              </w:rPr>
              <w:fldChar w:fldCharType="begin"/>
            </w:r>
            <w:r w:rsidR="009100BC">
              <w:rPr>
                <w:noProof/>
                <w:webHidden/>
              </w:rPr>
              <w:instrText xml:space="preserve"> PAGEREF _Toc102051252 \h </w:instrText>
            </w:r>
            <w:r w:rsidR="009100BC">
              <w:rPr>
                <w:noProof/>
                <w:webHidden/>
              </w:rPr>
            </w:r>
            <w:r w:rsidR="009100BC">
              <w:rPr>
                <w:noProof/>
                <w:webHidden/>
              </w:rPr>
              <w:fldChar w:fldCharType="separate"/>
            </w:r>
            <w:r w:rsidR="004219E9">
              <w:rPr>
                <w:noProof/>
                <w:webHidden/>
              </w:rPr>
              <w:t>133</w:t>
            </w:r>
            <w:r w:rsidR="009100BC">
              <w:rPr>
                <w:noProof/>
                <w:webHidden/>
              </w:rPr>
              <w:fldChar w:fldCharType="end"/>
            </w:r>
          </w:hyperlink>
        </w:p>
        <w:p w14:paraId="7E2309E3" w14:textId="65AC3BA5" w:rsidR="009100BC" w:rsidRDefault="0027114E">
          <w:pPr>
            <w:pStyle w:val="TDC4"/>
            <w:tabs>
              <w:tab w:val="right" w:pos="8828"/>
            </w:tabs>
            <w:rPr>
              <w:rFonts w:asciiTheme="minorHAnsi" w:eastAsiaTheme="minorEastAsia" w:hAnsiTheme="minorHAnsi" w:cstheme="minorBidi"/>
              <w:noProof/>
            </w:rPr>
          </w:pPr>
          <w:hyperlink w:anchor="_Toc102051253" w:history="1">
            <w:r w:rsidR="009100BC" w:rsidRPr="00B04A11">
              <w:rPr>
                <w:rStyle w:val="Hipervnculo"/>
                <w:rFonts w:ascii="Times New Roman" w:eastAsia="Times New Roman" w:hAnsi="Times New Roman" w:cs="Times New Roman"/>
                <w:noProof/>
              </w:rPr>
              <w:t>FICHA INDICADOR 4.1 Índice de fortalecimiento anticorrupción institucional en los Organismos Garantes.</w:t>
            </w:r>
            <w:r w:rsidR="009100BC">
              <w:rPr>
                <w:noProof/>
                <w:webHidden/>
              </w:rPr>
              <w:tab/>
            </w:r>
            <w:r w:rsidR="009100BC">
              <w:rPr>
                <w:noProof/>
                <w:webHidden/>
              </w:rPr>
              <w:fldChar w:fldCharType="begin"/>
            </w:r>
            <w:r w:rsidR="009100BC">
              <w:rPr>
                <w:noProof/>
                <w:webHidden/>
              </w:rPr>
              <w:instrText xml:space="preserve"> PAGEREF _Toc102051253 \h </w:instrText>
            </w:r>
            <w:r w:rsidR="009100BC">
              <w:rPr>
                <w:noProof/>
                <w:webHidden/>
              </w:rPr>
            </w:r>
            <w:r w:rsidR="009100BC">
              <w:rPr>
                <w:noProof/>
                <w:webHidden/>
              </w:rPr>
              <w:fldChar w:fldCharType="separate"/>
            </w:r>
            <w:r w:rsidR="004219E9">
              <w:rPr>
                <w:noProof/>
                <w:webHidden/>
              </w:rPr>
              <w:t>135</w:t>
            </w:r>
            <w:r w:rsidR="009100BC">
              <w:rPr>
                <w:noProof/>
                <w:webHidden/>
              </w:rPr>
              <w:fldChar w:fldCharType="end"/>
            </w:r>
          </w:hyperlink>
        </w:p>
        <w:p w14:paraId="213F3836" w14:textId="0FA57F37" w:rsidR="009100BC" w:rsidRDefault="0027114E">
          <w:pPr>
            <w:pStyle w:val="TDC4"/>
            <w:tabs>
              <w:tab w:val="right" w:pos="8828"/>
            </w:tabs>
            <w:rPr>
              <w:rFonts w:asciiTheme="minorHAnsi" w:eastAsiaTheme="minorEastAsia" w:hAnsiTheme="minorHAnsi" w:cstheme="minorBidi"/>
              <w:noProof/>
            </w:rPr>
          </w:pPr>
          <w:hyperlink w:anchor="_Toc102051254" w:history="1">
            <w:r w:rsidR="009100BC" w:rsidRPr="00B04A11">
              <w:rPr>
                <w:rStyle w:val="Hipervnculo"/>
                <w:rFonts w:ascii="Times New Roman" w:eastAsia="Times New Roman" w:hAnsi="Times New Roman" w:cs="Times New Roman"/>
                <w:noProof/>
              </w:rPr>
              <w:t>FICHA INDICADOR 5.1 Porcentaje de Recursos de Revisión en Materia de Acceso a la Información Desechados por los Organismos Garantes.</w:t>
            </w:r>
            <w:r w:rsidR="009100BC">
              <w:rPr>
                <w:noProof/>
                <w:webHidden/>
              </w:rPr>
              <w:tab/>
            </w:r>
            <w:r w:rsidR="009100BC">
              <w:rPr>
                <w:noProof/>
                <w:webHidden/>
              </w:rPr>
              <w:fldChar w:fldCharType="begin"/>
            </w:r>
            <w:r w:rsidR="009100BC">
              <w:rPr>
                <w:noProof/>
                <w:webHidden/>
              </w:rPr>
              <w:instrText xml:space="preserve"> PAGEREF _Toc102051254 \h </w:instrText>
            </w:r>
            <w:r w:rsidR="009100BC">
              <w:rPr>
                <w:noProof/>
                <w:webHidden/>
              </w:rPr>
            </w:r>
            <w:r w:rsidR="009100BC">
              <w:rPr>
                <w:noProof/>
                <w:webHidden/>
              </w:rPr>
              <w:fldChar w:fldCharType="separate"/>
            </w:r>
            <w:r w:rsidR="004219E9">
              <w:rPr>
                <w:noProof/>
                <w:webHidden/>
              </w:rPr>
              <w:t>138</w:t>
            </w:r>
            <w:r w:rsidR="009100BC">
              <w:rPr>
                <w:noProof/>
                <w:webHidden/>
              </w:rPr>
              <w:fldChar w:fldCharType="end"/>
            </w:r>
          </w:hyperlink>
        </w:p>
        <w:p w14:paraId="115C3514" w14:textId="471C73B3" w:rsidR="009100BC" w:rsidRDefault="0027114E">
          <w:pPr>
            <w:pStyle w:val="TDC4"/>
            <w:tabs>
              <w:tab w:val="right" w:pos="8828"/>
            </w:tabs>
            <w:rPr>
              <w:rFonts w:asciiTheme="minorHAnsi" w:eastAsiaTheme="minorEastAsia" w:hAnsiTheme="minorHAnsi" w:cstheme="minorBidi"/>
              <w:noProof/>
            </w:rPr>
          </w:pPr>
          <w:hyperlink w:anchor="_Toc102051255" w:history="1">
            <w:r w:rsidR="009100BC" w:rsidRPr="00B04A11">
              <w:rPr>
                <w:rStyle w:val="Hipervnculo"/>
                <w:rFonts w:ascii="Times New Roman" w:eastAsia="Times New Roman" w:hAnsi="Times New Roman" w:cs="Times New Roman"/>
                <w:noProof/>
              </w:rPr>
              <w:t>FICHA INDICADOR TRANSVERSAL A.1 Promedio de acciones reportadas en el CNTAIPPDP por los Organismos Garantes como realizadas en materia de promoción y difusión del DAI.</w:t>
            </w:r>
            <w:r w:rsidR="009100BC">
              <w:rPr>
                <w:noProof/>
                <w:webHidden/>
              </w:rPr>
              <w:tab/>
            </w:r>
            <w:r w:rsidR="009100BC">
              <w:rPr>
                <w:noProof/>
                <w:webHidden/>
              </w:rPr>
              <w:fldChar w:fldCharType="begin"/>
            </w:r>
            <w:r w:rsidR="009100BC">
              <w:rPr>
                <w:noProof/>
                <w:webHidden/>
              </w:rPr>
              <w:instrText xml:space="preserve"> PAGEREF _Toc102051255 \h </w:instrText>
            </w:r>
            <w:r w:rsidR="009100BC">
              <w:rPr>
                <w:noProof/>
                <w:webHidden/>
              </w:rPr>
            </w:r>
            <w:r w:rsidR="009100BC">
              <w:rPr>
                <w:noProof/>
                <w:webHidden/>
              </w:rPr>
              <w:fldChar w:fldCharType="separate"/>
            </w:r>
            <w:r w:rsidR="004219E9">
              <w:rPr>
                <w:noProof/>
                <w:webHidden/>
              </w:rPr>
              <w:t>141</w:t>
            </w:r>
            <w:r w:rsidR="009100BC">
              <w:rPr>
                <w:noProof/>
                <w:webHidden/>
              </w:rPr>
              <w:fldChar w:fldCharType="end"/>
            </w:r>
          </w:hyperlink>
        </w:p>
        <w:p w14:paraId="196D025B" w14:textId="01036A50" w:rsidR="009100BC" w:rsidRDefault="0027114E">
          <w:pPr>
            <w:pStyle w:val="TDC4"/>
            <w:tabs>
              <w:tab w:val="right" w:pos="8828"/>
            </w:tabs>
            <w:rPr>
              <w:rFonts w:asciiTheme="minorHAnsi" w:eastAsiaTheme="minorEastAsia" w:hAnsiTheme="minorHAnsi" w:cstheme="minorBidi"/>
              <w:noProof/>
            </w:rPr>
          </w:pPr>
          <w:hyperlink w:anchor="_Toc102051256" w:history="1">
            <w:r w:rsidR="009100BC" w:rsidRPr="00B04A11">
              <w:rPr>
                <w:rStyle w:val="Hipervnculo"/>
                <w:rFonts w:ascii="Times New Roman" w:eastAsia="Times New Roman" w:hAnsi="Times New Roman" w:cs="Times New Roman"/>
                <w:noProof/>
              </w:rPr>
              <w:t>FICHA INDICADOR TRANSVERSAL B.1 Porcentaje de Organismos Garantes que reportan que sus sujetos obligados implementan medidas de accesibilidad y/o ajustes razonables.</w:t>
            </w:r>
            <w:r w:rsidR="009100BC">
              <w:rPr>
                <w:noProof/>
                <w:webHidden/>
              </w:rPr>
              <w:tab/>
            </w:r>
            <w:r w:rsidR="009100BC">
              <w:rPr>
                <w:noProof/>
                <w:webHidden/>
              </w:rPr>
              <w:fldChar w:fldCharType="begin"/>
            </w:r>
            <w:r w:rsidR="009100BC">
              <w:rPr>
                <w:noProof/>
                <w:webHidden/>
              </w:rPr>
              <w:instrText xml:space="preserve"> PAGEREF _Toc102051256 \h </w:instrText>
            </w:r>
            <w:r w:rsidR="009100BC">
              <w:rPr>
                <w:noProof/>
                <w:webHidden/>
              </w:rPr>
            </w:r>
            <w:r w:rsidR="009100BC">
              <w:rPr>
                <w:noProof/>
                <w:webHidden/>
              </w:rPr>
              <w:fldChar w:fldCharType="separate"/>
            </w:r>
            <w:r w:rsidR="004219E9">
              <w:rPr>
                <w:noProof/>
                <w:webHidden/>
              </w:rPr>
              <w:t>145</w:t>
            </w:r>
            <w:r w:rsidR="009100BC">
              <w:rPr>
                <w:noProof/>
                <w:webHidden/>
              </w:rPr>
              <w:fldChar w:fldCharType="end"/>
            </w:r>
          </w:hyperlink>
        </w:p>
        <w:p w14:paraId="0600187B" w14:textId="054BFCBF" w:rsidR="009100BC" w:rsidRDefault="0027114E">
          <w:pPr>
            <w:pStyle w:val="TDC4"/>
            <w:tabs>
              <w:tab w:val="right" w:pos="8828"/>
            </w:tabs>
            <w:rPr>
              <w:rFonts w:asciiTheme="minorHAnsi" w:eastAsiaTheme="minorEastAsia" w:hAnsiTheme="minorHAnsi" w:cstheme="minorBidi"/>
              <w:noProof/>
            </w:rPr>
          </w:pPr>
          <w:hyperlink w:anchor="_Toc102051257" w:history="1">
            <w:r w:rsidR="009100BC" w:rsidRPr="00B04A11">
              <w:rPr>
                <w:rStyle w:val="Hipervnculo"/>
                <w:rFonts w:ascii="Times New Roman" w:eastAsia="Times New Roman" w:hAnsi="Times New Roman" w:cs="Times New Roman"/>
                <w:noProof/>
              </w:rPr>
              <w:t>FICHA INDICADOR TRANSVERSAL C.1 Índice de fortalezas institucionales en los Organismos Garantes.</w:t>
            </w:r>
            <w:r w:rsidR="009100BC">
              <w:rPr>
                <w:noProof/>
                <w:webHidden/>
              </w:rPr>
              <w:tab/>
            </w:r>
            <w:r w:rsidR="009100BC">
              <w:rPr>
                <w:noProof/>
                <w:webHidden/>
              </w:rPr>
              <w:fldChar w:fldCharType="begin"/>
            </w:r>
            <w:r w:rsidR="009100BC">
              <w:rPr>
                <w:noProof/>
                <w:webHidden/>
              </w:rPr>
              <w:instrText xml:space="preserve"> PAGEREF _Toc102051257 \h </w:instrText>
            </w:r>
            <w:r w:rsidR="009100BC">
              <w:rPr>
                <w:noProof/>
                <w:webHidden/>
              </w:rPr>
            </w:r>
            <w:r w:rsidR="009100BC">
              <w:rPr>
                <w:noProof/>
                <w:webHidden/>
              </w:rPr>
              <w:fldChar w:fldCharType="separate"/>
            </w:r>
            <w:r w:rsidR="004219E9">
              <w:rPr>
                <w:noProof/>
                <w:webHidden/>
              </w:rPr>
              <w:t>149</w:t>
            </w:r>
            <w:r w:rsidR="009100BC">
              <w:rPr>
                <w:noProof/>
                <w:webHidden/>
              </w:rPr>
              <w:fldChar w:fldCharType="end"/>
            </w:r>
          </w:hyperlink>
        </w:p>
        <w:p w14:paraId="2CD77B06" w14:textId="0FB5F3DF" w:rsidR="00E35B30" w:rsidRPr="00BA784D" w:rsidRDefault="0036612A">
          <w:pPr>
            <w:tabs>
              <w:tab w:val="right" w:pos="8838"/>
            </w:tabs>
            <w:spacing w:before="60" w:after="80"/>
            <w:ind w:left="720"/>
            <w:rPr>
              <w:rFonts w:ascii="Times New Roman" w:eastAsia="Times New Roman" w:hAnsi="Times New Roman" w:cs="Times New Roman"/>
              <w:color w:val="000000"/>
              <w:sz w:val="24"/>
              <w:szCs w:val="24"/>
            </w:rPr>
          </w:pPr>
          <w:r w:rsidRPr="00BA784D">
            <w:fldChar w:fldCharType="end"/>
          </w:r>
        </w:p>
      </w:sdtContent>
    </w:sdt>
    <w:p w14:paraId="619761AE" w14:textId="77777777" w:rsidR="00E35B30" w:rsidRPr="00BA784D" w:rsidRDefault="0036612A">
      <w:pPr>
        <w:pBdr>
          <w:top w:val="nil"/>
          <w:left w:val="nil"/>
          <w:bottom w:val="nil"/>
          <w:right w:val="nil"/>
          <w:between w:val="nil"/>
        </w:pBdr>
        <w:spacing w:before="1" w:line="360" w:lineRule="auto"/>
        <w:jc w:val="both"/>
        <w:rPr>
          <w:rFonts w:ascii="Times New Roman" w:eastAsia="Times New Roman" w:hAnsi="Times New Roman" w:cs="Times New Roman"/>
          <w:b/>
          <w:sz w:val="24"/>
          <w:szCs w:val="24"/>
        </w:rPr>
      </w:pPr>
      <w:r w:rsidRPr="00BA784D">
        <w:br w:type="page"/>
      </w:r>
    </w:p>
    <w:p w14:paraId="078B3B83" w14:textId="3C0BC51C" w:rsidR="00E35B30" w:rsidRPr="00BA784D" w:rsidRDefault="0036612A">
      <w:pPr>
        <w:pStyle w:val="Ttulo2"/>
        <w:spacing w:line="360" w:lineRule="auto"/>
        <w:ind w:firstLine="120"/>
        <w:rPr>
          <w:sz w:val="24"/>
          <w:szCs w:val="24"/>
        </w:rPr>
      </w:pPr>
      <w:bookmarkStart w:id="1" w:name="_Toc102051217"/>
      <w:r w:rsidRPr="00BA784D">
        <w:rPr>
          <w:sz w:val="24"/>
          <w:szCs w:val="24"/>
        </w:rPr>
        <w:lastRenderedPageBreak/>
        <w:t>Introducción al PROTAI 2022-202</w:t>
      </w:r>
      <w:r w:rsidR="008F0AF8" w:rsidRPr="00BA784D">
        <w:rPr>
          <w:sz w:val="24"/>
          <w:szCs w:val="24"/>
        </w:rPr>
        <w:t>6</w:t>
      </w:r>
      <w:bookmarkEnd w:id="1"/>
    </w:p>
    <w:p w14:paraId="0376C844" w14:textId="77777777" w:rsidR="00E35B30" w:rsidRPr="00BA784D" w:rsidRDefault="00E35B30">
      <w:pPr>
        <w:spacing w:line="360" w:lineRule="auto"/>
        <w:rPr>
          <w:rFonts w:ascii="Times New Roman" w:eastAsia="Times New Roman" w:hAnsi="Times New Roman" w:cs="Times New Roman"/>
          <w:sz w:val="24"/>
          <w:szCs w:val="24"/>
        </w:rPr>
      </w:pPr>
    </w:p>
    <w:p w14:paraId="7EED8A9A"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El Programa Nacional de Transparencia y Acceso a la Información, conocido como PROTAI, es una herramienta fundamental de planeación y establecimiento de la política pública de la garantía del derecho humano al acceso a la información y la transparencia gubernamental en México, desarrollada por el Sistema Nacional de Transparencia, Acceso a la Información Pública y Protección de Datos Personales (SNT) que es la instancia de coordinación que integra las perspectivas nacionales y locales de manera no jerarquizada. </w:t>
      </w:r>
    </w:p>
    <w:p w14:paraId="79EB3518" w14:textId="5E6618B6"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El programa impulsa acciones coordinadas dirigidas a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para que mediante estrategias y objetivos comunes se fortalezcan la garantía del derecho de acceso a la información y la transparencia a lo largo y ancho del país; a dichos integrantes les corresponde ejecutar las líneas de acción a través del desarrollo de sus Rutas de Implementación anuales en los diversos ejes temáticos y transversales. La observación de la ejecución del PROTAI le corresponde a la Secretaría Ejecutiva del SNT, quien da seguimiento a la información derivada de la implementación de manera homogénea de forma que le permite comparar datos sobre su cumplimiento a través del tiempo y obtener retroalimentación de un Comité Técnico de expertos.</w:t>
      </w:r>
    </w:p>
    <w:p w14:paraId="4F60E35D" w14:textId="0DCED842"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A pesar de que el alcance de las políticas del PROTAI son dirigidas en un primer momento a </w:t>
      </w:r>
      <w:r w:rsidR="000C56F7" w:rsidRPr="00BA784D">
        <w:rPr>
          <w:rFonts w:ascii="Times New Roman" w:eastAsia="Times New Roman" w:hAnsi="Times New Roman" w:cs="Times New Roman"/>
          <w:sz w:val="24"/>
          <w:szCs w:val="24"/>
        </w:rPr>
        <w:t xml:space="preserve">las instituciones </w:t>
      </w:r>
      <w:r w:rsidRPr="00BA784D">
        <w:rPr>
          <w:rFonts w:ascii="Times New Roman" w:eastAsia="Times New Roman" w:hAnsi="Times New Roman" w:cs="Times New Roman"/>
          <w:sz w:val="24"/>
          <w:szCs w:val="24"/>
        </w:rPr>
        <w:t>integrantes del SNT, el efecto de sus acciones impacta en la práctica de los sujetos obligados de las leyes de transparencia y acceso a la información y en la sociedad en general a partir de las políticas y lineamientos desarrollados desde el programa; logrando de esta manera una incidencia nacional</w:t>
      </w:r>
      <w:r w:rsidR="007D49C1" w:rsidRPr="00BA784D">
        <w:rPr>
          <w:rFonts w:ascii="Times New Roman" w:eastAsia="Times New Roman" w:hAnsi="Times New Roman" w:cs="Times New Roman"/>
          <w:sz w:val="24"/>
          <w:szCs w:val="24"/>
        </w:rPr>
        <w:t xml:space="preserve"> en su ejercicio del derecho a saber</w:t>
      </w:r>
      <w:r w:rsidRPr="00BA784D">
        <w:rPr>
          <w:rFonts w:ascii="Times New Roman" w:eastAsia="Times New Roman" w:hAnsi="Times New Roman" w:cs="Times New Roman"/>
          <w:sz w:val="24"/>
          <w:szCs w:val="24"/>
        </w:rPr>
        <w:t>.</w:t>
      </w:r>
    </w:p>
    <w:p w14:paraId="52FF342F"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Como antecedente, el SNT aprobó en 2017 la primera versión de PROTAI 2017-2021, después de amplios procesos de consulta y participación ciudadana; este primer ejercicio incluyó estrategias, líneas de acción y metas específicas de cumplimiento para homologar el cumplimiento de las leyes a lo largo del territorio. De manera innovadora, el primer PROTAI inauguró una metodología para diagnosticar los problemas públicos que presentaban la transparencia y el acceso a la información basada en datos y marcos conceptuales, proponiendo mecanismos de seguimiento de avances de la implementación de la política. En </w:t>
      </w:r>
      <w:r w:rsidRPr="00BA784D">
        <w:rPr>
          <w:rFonts w:ascii="Times New Roman" w:eastAsia="Times New Roman" w:hAnsi="Times New Roman" w:cs="Times New Roman"/>
          <w:sz w:val="24"/>
          <w:szCs w:val="24"/>
        </w:rPr>
        <w:lastRenderedPageBreak/>
        <w:t>los últimos tres años, esta metodología ha producido un cúmulo de información que da paso a una nueva etapa de valoración del programa facilitada por el análisis computacional de datos.</w:t>
      </w:r>
    </w:p>
    <w:p w14:paraId="2381E144" w14:textId="50830A51"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El PROTAI 2022-202</w:t>
      </w:r>
      <w:r w:rsidR="00415C91" w:rsidRPr="00BA784D">
        <w:rPr>
          <w:rFonts w:ascii="Times New Roman" w:eastAsia="Times New Roman" w:hAnsi="Times New Roman" w:cs="Times New Roman"/>
          <w:sz w:val="24"/>
          <w:szCs w:val="24"/>
        </w:rPr>
        <w:t>6</w:t>
      </w:r>
      <w:r w:rsidRPr="00BA784D">
        <w:rPr>
          <w:rFonts w:ascii="Times New Roman" w:eastAsia="Times New Roman" w:hAnsi="Times New Roman" w:cs="Times New Roman"/>
          <w:sz w:val="24"/>
          <w:szCs w:val="24"/>
        </w:rPr>
        <w:t xml:space="preserve"> se origina en el marco de las obligaciones jurídicas preexistentes desde la Ley General de Transparencia y Acceso a la Información y de los lineamientos para su elaboración emitidos y reformados por el SNT. Del proceso de discusión y reforma de estos lineamientos, con la participación de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w:t>
      </w:r>
      <w:r w:rsidR="000C56F7" w:rsidRPr="00BA784D">
        <w:rPr>
          <w:rFonts w:ascii="Times New Roman" w:eastAsia="Times New Roman" w:hAnsi="Times New Roman" w:cs="Times New Roman"/>
          <w:sz w:val="24"/>
          <w:szCs w:val="24"/>
        </w:rPr>
        <w:t>instituciones</w:t>
      </w:r>
      <w:r w:rsidRPr="00BA784D">
        <w:rPr>
          <w:rFonts w:ascii="Times New Roman" w:eastAsia="Times New Roman" w:hAnsi="Times New Roman" w:cs="Times New Roman"/>
          <w:sz w:val="24"/>
          <w:szCs w:val="24"/>
        </w:rPr>
        <w:t xml:space="preserve"> integrantes del SNT, destaca que la gran parte del diseño previsto en los lineamientos es aceptado y considerado idóneo después de los primeros años de ejecución. Asimismo, del análisis de los datos reportados por </w:t>
      </w:r>
      <w:r w:rsidR="000C56F7" w:rsidRPr="00BA784D">
        <w:rPr>
          <w:rFonts w:ascii="Times New Roman" w:eastAsia="Times New Roman" w:hAnsi="Times New Roman" w:cs="Times New Roman"/>
          <w:sz w:val="24"/>
          <w:szCs w:val="24"/>
        </w:rPr>
        <w:t>las instituciones</w:t>
      </w:r>
      <w:r w:rsidR="00EC37B3"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sz w:val="24"/>
          <w:szCs w:val="24"/>
        </w:rPr>
        <w:t>integrantes del SNT sobre la implementación del primer programa, se advierte una heterogeneidad en los niveles de cumplimiento y buenas prácticas que facilitan un proceso de ajustes para reforzar y mejorar los objetivos del programa bajo un contexto realista y viable. En general, el PROTAI 2017-2021 ha tenido una buena aceptación, pues de todas las actividades previstas el 80 por ciento de ellas fueron reportadas como cumplidas por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 propi</w:t>
      </w:r>
      <w:r w:rsidR="00904798"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 xml:space="preserve">s </w:t>
      </w:r>
      <w:r w:rsidR="00EC37B3" w:rsidRPr="00BA784D">
        <w:rPr>
          <w:rFonts w:ascii="Times New Roman" w:eastAsia="Times New Roman" w:hAnsi="Times New Roman" w:cs="Times New Roman"/>
          <w:sz w:val="24"/>
          <w:szCs w:val="24"/>
        </w:rPr>
        <w:t xml:space="preserve">instituciones </w:t>
      </w:r>
      <w:r w:rsidRPr="00BA784D">
        <w:rPr>
          <w:rFonts w:ascii="Times New Roman" w:eastAsia="Times New Roman" w:hAnsi="Times New Roman" w:cs="Times New Roman"/>
          <w:sz w:val="24"/>
          <w:szCs w:val="24"/>
        </w:rPr>
        <w:t>integrantes del SNT según los datos de la Dirección Técnica, Seguimiento y Normatividad del Sistema Nacional de Transparencia.</w:t>
      </w:r>
    </w:p>
    <w:p w14:paraId="48ABC0A6" w14:textId="1F7C8D0E"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Es a partir de lo anterior que se considera dar continuidad a la política pública, incluir mejoras y fortalecer la institucionalidad</w:t>
      </w:r>
      <w:r w:rsidR="007D49C1" w:rsidRPr="00BA784D">
        <w:rPr>
          <w:rFonts w:ascii="Times New Roman" w:eastAsia="Times New Roman" w:hAnsi="Times New Roman" w:cs="Times New Roman"/>
          <w:sz w:val="24"/>
          <w:szCs w:val="24"/>
        </w:rPr>
        <w:t>, profesionalización</w:t>
      </w:r>
      <w:r w:rsidRPr="00BA784D">
        <w:rPr>
          <w:rFonts w:ascii="Times New Roman" w:eastAsia="Times New Roman" w:hAnsi="Times New Roman" w:cs="Times New Roman"/>
          <w:sz w:val="24"/>
          <w:szCs w:val="24"/>
        </w:rPr>
        <w:t xml:space="preserve"> y cultura organizacional de los Organismos Garantes. En esta edición 2022-202</w:t>
      </w:r>
      <w:r w:rsidR="00415C91" w:rsidRPr="00BA784D">
        <w:rPr>
          <w:rFonts w:ascii="Times New Roman" w:eastAsia="Times New Roman" w:hAnsi="Times New Roman" w:cs="Times New Roman"/>
          <w:sz w:val="24"/>
          <w:szCs w:val="24"/>
        </w:rPr>
        <w:t>6</w:t>
      </w:r>
      <w:r w:rsidRPr="00BA784D">
        <w:rPr>
          <w:rFonts w:ascii="Times New Roman" w:eastAsia="Times New Roman" w:hAnsi="Times New Roman" w:cs="Times New Roman"/>
          <w:sz w:val="24"/>
          <w:szCs w:val="24"/>
        </w:rPr>
        <w:t xml:space="preserve">, el PROTAI aprende de las experiencias de los Organismos Garantes </w:t>
      </w:r>
      <w:r w:rsidR="00404DD0" w:rsidRPr="00BA784D">
        <w:rPr>
          <w:rFonts w:ascii="Times New Roman" w:eastAsia="Times New Roman" w:hAnsi="Times New Roman" w:cs="Times New Roman"/>
          <w:sz w:val="24"/>
          <w:szCs w:val="24"/>
        </w:rPr>
        <w:t>L</w:t>
      </w:r>
      <w:r w:rsidRPr="00BA784D">
        <w:rPr>
          <w:rFonts w:ascii="Times New Roman" w:eastAsia="Times New Roman" w:hAnsi="Times New Roman" w:cs="Times New Roman"/>
          <w:sz w:val="24"/>
          <w:szCs w:val="24"/>
        </w:rPr>
        <w:t>ocales, de los integrantes federales del SNT y del uso que han hecho del derecho de acceso a la información las personas en su vida cotidiana. Esto permite advertir las fortalezas del programa y de las instituciones a las que va dirigido, plantear retos, desafíos y riesgos de imprevistos que podrían obstaculizar el curso de las acciones, por lo que la presente edición del PROTAI ajusta las expectativas a la realidad viable y a las mejores prácticas de implementación de la primera edición, con el objetivo de incrementar la ejecución de acciones en cada integrante del SNT.</w:t>
      </w:r>
    </w:p>
    <w:p w14:paraId="000A7D12" w14:textId="77777777" w:rsidR="00E35B30" w:rsidRPr="00BA784D" w:rsidRDefault="00E35B30">
      <w:pPr>
        <w:spacing w:line="360" w:lineRule="auto"/>
        <w:jc w:val="both"/>
        <w:rPr>
          <w:rFonts w:ascii="Times New Roman" w:eastAsia="Times New Roman" w:hAnsi="Times New Roman" w:cs="Times New Roman"/>
          <w:sz w:val="24"/>
          <w:szCs w:val="24"/>
        </w:rPr>
      </w:pPr>
    </w:p>
    <w:p w14:paraId="4190E6A9" w14:textId="582F63A6" w:rsidR="00E35B30" w:rsidRPr="00BA784D" w:rsidRDefault="0036612A" w:rsidP="00FD69BE">
      <w:pPr>
        <w:pStyle w:val="Ttulo2"/>
        <w:spacing w:line="360" w:lineRule="auto"/>
        <w:ind w:firstLine="120"/>
        <w:rPr>
          <w:sz w:val="24"/>
          <w:szCs w:val="24"/>
        </w:rPr>
      </w:pPr>
      <w:bookmarkStart w:id="2" w:name="_heading=h.30j0zll" w:colFirst="0" w:colLast="0"/>
      <w:bookmarkEnd w:id="2"/>
      <w:r w:rsidRPr="00BA784D">
        <w:br w:type="page"/>
      </w:r>
      <w:bookmarkStart w:id="3" w:name="_Toc102051218"/>
      <w:r w:rsidRPr="00BA784D">
        <w:rPr>
          <w:sz w:val="24"/>
          <w:szCs w:val="24"/>
        </w:rPr>
        <w:lastRenderedPageBreak/>
        <w:t>Antecedentes: valoración general del Primer PROTAI</w:t>
      </w:r>
      <w:bookmarkEnd w:id="3"/>
    </w:p>
    <w:p w14:paraId="6EEDCBDD" w14:textId="77777777" w:rsidR="00E35B30" w:rsidRPr="00BA784D" w:rsidRDefault="00E35B30">
      <w:pPr>
        <w:spacing w:line="360" w:lineRule="auto"/>
        <w:jc w:val="both"/>
        <w:rPr>
          <w:rFonts w:ascii="Times New Roman" w:eastAsia="Times New Roman" w:hAnsi="Times New Roman" w:cs="Times New Roman"/>
          <w:sz w:val="24"/>
          <w:szCs w:val="24"/>
        </w:rPr>
      </w:pPr>
    </w:p>
    <w:p w14:paraId="33B2E1C2" w14:textId="56BCD159"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El PROTAI 2017-2021 tuvo una estructura compuesta por cuatro ejes temáticos rectores y dos ejes transversales provistos de objetivos, estrategias, 124 líneas de acción y se realizaron 2,984 actividades en los tres primeros años de su vigencia por parte de </w:t>
      </w:r>
      <w:r w:rsidR="000C56F7" w:rsidRPr="00BA784D">
        <w:rPr>
          <w:rFonts w:ascii="Times New Roman" w:eastAsia="Times New Roman" w:hAnsi="Times New Roman" w:cs="Times New Roman"/>
          <w:sz w:val="24"/>
          <w:szCs w:val="24"/>
        </w:rPr>
        <w:t xml:space="preserve">las instituciones </w:t>
      </w:r>
      <w:r w:rsidRPr="00BA784D">
        <w:rPr>
          <w:rFonts w:ascii="Times New Roman" w:eastAsia="Times New Roman" w:hAnsi="Times New Roman" w:cs="Times New Roman"/>
          <w:sz w:val="24"/>
          <w:szCs w:val="24"/>
        </w:rPr>
        <w:t xml:space="preserve">integrantes del SNT. </w:t>
      </w:r>
    </w:p>
    <w:p w14:paraId="708BAEB5"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Los ejes temáticos del PROTAI 2017-2021 fueron:</w:t>
      </w:r>
    </w:p>
    <w:p w14:paraId="39BA50C9" w14:textId="77777777" w:rsidR="00E35B30" w:rsidRPr="00BA784D" w:rsidRDefault="0036612A">
      <w:pPr>
        <w:numPr>
          <w:ilvl w:val="0"/>
          <w:numId w:val="15"/>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Eje 1. Archivo y Gestión Documental</w:t>
      </w:r>
    </w:p>
    <w:p w14:paraId="3BBA12C0" w14:textId="77777777" w:rsidR="00E35B30" w:rsidRPr="00BA784D" w:rsidRDefault="0036612A">
      <w:pPr>
        <w:numPr>
          <w:ilvl w:val="0"/>
          <w:numId w:val="15"/>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Eje 2. Derecho de Acceso a la Información</w:t>
      </w:r>
    </w:p>
    <w:p w14:paraId="6C6E2085" w14:textId="77777777" w:rsidR="00E35B30" w:rsidRPr="00BA784D" w:rsidRDefault="0036612A">
      <w:pPr>
        <w:numPr>
          <w:ilvl w:val="0"/>
          <w:numId w:val="15"/>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Eje 3. Gobierno Abierto, Transparencia Proactiva y SIPOT</w:t>
      </w:r>
    </w:p>
    <w:p w14:paraId="57E2872D" w14:textId="77777777" w:rsidR="00E35B30" w:rsidRPr="00BA784D" w:rsidRDefault="0036612A">
      <w:pPr>
        <w:numPr>
          <w:ilvl w:val="0"/>
          <w:numId w:val="15"/>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Eje 4. Rendición de Cuentas</w:t>
      </w:r>
    </w:p>
    <w:p w14:paraId="2868A2BD"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Mientras que los ejes transversales fueron: </w:t>
      </w:r>
    </w:p>
    <w:p w14:paraId="5137FAE2" w14:textId="77777777" w:rsidR="00E35B30" w:rsidRPr="00BA784D" w:rsidRDefault="0036612A">
      <w:pPr>
        <w:numPr>
          <w:ilvl w:val="0"/>
          <w:numId w:val="15"/>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Eje A. Promoción, Difusión y Fomento de la Cultura de Transparencia y Acceso a la Información</w:t>
      </w:r>
    </w:p>
    <w:p w14:paraId="6BA0A237" w14:textId="77777777" w:rsidR="00E35B30" w:rsidRPr="00BA784D" w:rsidRDefault="0036612A">
      <w:pPr>
        <w:numPr>
          <w:ilvl w:val="0"/>
          <w:numId w:val="15"/>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Eje B. Derechos Humanos, Perspectiva de Género e Inclusión Social</w:t>
      </w:r>
    </w:p>
    <w:p w14:paraId="0C7C0A53" w14:textId="24B82E08"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En el periodo 2018-2020, la mayoría de las líneas de acción implementadas se concentraron con actividades dentro del Eje A de Promoción, Difusión y Fomento de la Cultura de la Transparencia y el Acceso a la Información, así como los ejes del Derecho de Acceso a la Información (2) y las políticas de transparencia: Gobierno Abierto, Transparencia Proactiva y SIPOT (3). Mientras que los ejes sobre Rendición de Cuentas (4) y Derechos Humanos, Perspectiva de Género e Inclusión Social (B) fueron los que presentaron menos auto-reportes de líneas de acción y actividades ejecutadas. Cabe mencionar que se denominan “actividades auto-reportadas” aquellas que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Sistema informan a la Secretaría Ejecutiva del Sistema por medio de los mecanismos de seguimiento. </w:t>
      </w:r>
    </w:p>
    <w:p w14:paraId="0DA4CCD3"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noProof/>
          <w:sz w:val="24"/>
          <w:szCs w:val="24"/>
        </w:rPr>
        <w:lastRenderedPageBreak/>
        <w:drawing>
          <wp:inline distT="114300" distB="114300" distL="114300" distR="114300" wp14:anchorId="0B5BA3B7" wp14:editId="55A44D97">
            <wp:extent cx="5612130" cy="3086100"/>
            <wp:effectExtent l="0" t="0" r="0" b="0"/>
            <wp:docPr id="8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5612130" cy="3086100"/>
                    </a:xfrm>
                    <a:prstGeom prst="rect">
                      <a:avLst/>
                    </a:prstGeom>
                    <a:ln/>
                  </pic:spPr>
                </pic:pic>
              </a:graphicData>
            </a:graphic>
          </wp:inline>
        </w:drawing>
      </w:r>
    </w:p>
    <w:p w14:paraId="065276C0" w14:textId="48CAB58F"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Al </w:t>
      </w:r>
      <w:r w:rsidR="00C42346" w:rsidRPr="00BA784D">
        <w:rPr>
          <w:rFonts w:ascii="Times New Roman" w:eastAsia="Times New Roman" w:hAnsi="Times New Roman" w:cs="Times New Roman"/>
          <w:sz w:val="24"/>
          <w:szCs w:val="24"/>
        </w:rPr>
        <w:t xml:space="preserve">observar </w:t>
      </w:r>
      <w:r w:rsidRPr="00BA784D">
        <w:rPr>
          <w:rFonts w:ascii="Times New Roman" w:eastAsia="Times New Roman" w:hAnsi="Times New Roman" w:cs="Times New Roman"/>
          <w:sz w:val="24"/>
          <w:szCs w:val="24"/>
        </w:rPr>
        <w:t xml:space="preserve">específicamente las actividades auto-reportadas entre </w:t>
      </w:r>
      <w:r w:rsidR="008B209A" w:rsidRPr="00BA784D">
        <w:rPr>
          <w:rFonts w:ascii="Times New Roman" w:eastAsia="Times New Roman" w:hAnsi="Times New Roman" w:cs="Times New Roman"/>
          <w:sz w:val="24"/>
          <w:szCs w:val="24"/>
        </w:rPr>
        <w:t xml:space="preserve">las y </w:t>
      </w:r>
      <w:r w:rsidRPr="00BA784D">
        <w:rPr>
          <w:rFonts w:ascii="Times New Roman" w:eastAsia="Times New Roman" w:hAnsi="Times New Roman" w:cs="Times New Roman"/>
          <w:sz w:val="24"/>
          <w:szCs w:val="24"/>
        </w:rPr>
        <w:t>los integrantes federales del SNT se identifica una implementación desigual por año y por eje, considerando que se trata de instituciones que cumplen con los objetivos del PROTAI desde la diversidad de sus funcione</w:t>
      </w:r>
      <w:r w:rsidR="00C42346" w:rsidRPr="00BA784D">
        <w:rPr>
          <w:rFonts w:ascii="Times New Roman" w:eastAsia="Times New Roman" w:hAnsi="Times New Roman" w:cs="Times New Roman"/>
          <w:sz w:val="24"/>
          <w:szCs w:val="24"/>
        </w:rPr>
        <w:t>s y atribucione</w:t>
      </w:r>
      <w:r w:rsidRPr="00BA784D">
        <w:rPr>
          <w:rFonts w:ascii="Times New Roman" w:eastAsia="Times New Roman" w:hAnsi="Times New Roman" w:cs="Times New Roman"/>
          <w:sz w:val="24"/>
          <w:szCs w:val="24"/>
        </w:rPr>
        <w:t>s; sin embargo, podría también significar la necesidad de perfeccionar el diseño de las líneas de acción en las que participan.</w:t>
      </w:r>
    </w:p>
    <w:p w14:paraId="24A24ACA"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noProof/>
          <w:sz w:val="24"/>
          <w:szCs w:val="24"/>
        </w:rPr>
        <w:drawing>
          <wp:inline distT="114300" distB="114300" distL="114300" distR="114300" wp14:anchorId="1B4176D8" wp14:editId="3978FFE8">
            <wp:extent cx="5612130" cy="3492500"/>
            <wp:effectExtent l="0" t="0" r="0" b="0"/>
            <wp:docPr id="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612130" cy="3492500"/>
                    </a:xfrm>
                    <a:prstGeom prst="rect">
                      <a:avLst/>
                    </a:prstGeom>
                    <a:ln/>
                  </pic:spPr>
                </pic:pic>
              </a:graphicData>
            </a:graphic>
          </wp:inline>
        </w:drawing>
      </w:r>
    </w:p>
    <w:p w14:paraId="011BF337" w14:textId="48D221B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 xml:space="preserve">El INAI, como cabeza del SNT y con funciones alineadas desde su plan institucional de trabajo con los objetivos del PROTAI, tanto en acceso a la información como en rendición de cuentas, implementó de manera creciente a lo largo de los años diversas actividades dentro de todos los ejes. El INAI reportó la mayor parte de sus actividades dentro de los ejes A, 3 y 2, y pocas acciones en los ejes 1, 4 y B. La ASF sobre los ejes 3 y 4, sobre gobierno abierto y rendición de cuentas. En contraste, el AGN se concentró en actividades destinadas el eje 1 sobre archivos y gestión documental, y el INEGI reportó actividades sobre el eje transversal B sobre derechos humanos, perspectiva de género e inclusión social, el eje 3 sobre gobierno abierto y el eje 2 del cumplimiento de sus obligaciones bajo la </w:t>
      </w:r>
      <w:r w:rsidR="00FF2B66" w:rsidRPr="00BA784D">
        <w:rPr>
          <w:rFonts w:ascii="Times New Roman" w:eastAsia="Times New Roman" w:hAnsi="Times New Roman" w:cs="Times New Roman"/>
          <w:sz w:val="24"/>
          <w:szCs w:val="24"/>
        </w:rPr>
        <w:t>L</w:t>
      </w:r>
      <w:r w:rsidRPr="00BA784D">
        <w:rPr>
          <w:rFonts w:ascii="Times New Roman" w:eastAsia="Times New Roman" w:hAnsi="Times New Roman" w:cs="Times New Roman"/>
          <w:sz w:val="24"/>
          <w:szCs w:val="24"/>
        </w:rPr>
        <w:t xml:space="preserve">ey </w:t>
      </w:r>
      <w:r w:rsidR="00FF2B66" w:rsidRPr="00BA784D">
        <w:rPr>
          <w:rFonts w:ascii="Times New Roman" w:eastAsia="Times New Roman" w:hAnsi="Times New Roman" w:cs="Times New Roman"/>
          <w:sz w:val="24"/>
          <w:szCs w:val="24"/>
        </w:rPr>
        <w:t>G</w:t>
      </w:r>
      <w:r w:rsidRPr="00BA784D">
        <w:rPr>
          <w:rFonts w:ascii="Times New Roman" w:eastAsia="Times New Roman" w:hAnsi="Times New Roman" w:cs="Times New Roman"/>
          <w:sz w:val="24"/>
          <w:szCs w:val="24"/>
        </w:rPr>
        <w:t>eneral en la materia.</w:t>
      </w:r>
    </w:p>
    <w:p w14:paraId="284E3191" w14:textId="4064359C"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El número total de acciones emprendidas en el periodo por los Organismos Garantes </w:t>
      </w:r>
      <w:r w:rsidR="00404DD0" w:rsidRPr="00BA784D">
        <w:rPr>
          <w:rFonts w:ascii="Times New Roman" w:eastAsia="Times New Roman" w:hAnsi="Times New Roman" w:cs="Times New Roman"/>
          <w:sz w:val="24"/>
          <w:szCs w:val="24"/>
        </w:rPr>
        <w:t>L</w:t>
      </w:r>
      <w:r w:rsidRPr="00BA784D">
        <w:rPr>
          <w:rFonts w:ascii="Times New Roman" w:eastAsia="Times New Roman" w:hAnsi="Times New Roman" w:cs="Times New Roman"/>
          <w:sz w:val="24"/>
          <w:szCs w:val="24"/>
        </w:rPr>
        <w:t xml:space="preserve">ocales se ilustra en la gráfica sobre “Porcentaje de actividades auto-reportadas por año: Entidades”. Con un total de 2,291 actividades y una media nacional de alrededor de 71 actividades durante el periodo, los organismos locales por encima de ella y con más de 100 actividades, se encuentran los correspondientes a las entidades federativas de: Morelos, Oaxaca, Nuevo León, Estado de México, Chihuahua, Puebla, Ciudad de México, Jalisco y Veracruz. En contraste, por debajo de 20 acciones aparecen los Organismos Garantes de Tabasco, Colima, Baja California Sur, Sonora, Chiapas, Nayarit, Hidalgo, Querétaro y Tamaulipas. </w:t>
      </w:r>
    </w:p>
    <w:p w14:paraId="5AD03E13"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Adicionalmente, el comportamiento individual anual muestra una diversidad de resultados de la implementación del PROTAI dentro de los años 2018 al 2020. No se observa una tendencia general nacional de incremento en la implementación gradual de actividades dentro de una curva de aprendizaje de los Organismos Garantes en el curso de los años. De hecho, esta tendencia puede derivar de la diversidad de sus contextos, capacidades y realidades político-económicas.</w:t>
      </w:r>
    </w:p>
    <w:p w14:paraId="01EA3F4D"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noProof/>
          <w:sz w:val="24"/>
          <w:szCs w:val="24"/>
        </w:rPr>
        <w:lastRenderedPageBreak/>
        <w:drawing>
          <wp:inline distT="114300" distB="114300" distL="114300" distR="114300" wp14:anchorId="71FE2D09" wp14:editId="3F12B698">
            <wp:extent cx="4510853" cy="8401368"/>
            <wp:effectExtent l="0" t="0" r="0" b="0"/>
            <wp:docPr id="8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4510853" cy="8401368"/>
                    </a:xfrm>
                    <a:prstGeom prst="rect">
                      <a:avLst/>
                    </a:prstGeom>
                    <a:ln/>
                  </pic:spPr>
                </pic:pic>
              </a:graphicData>
            </a:graphic>
          </wp:inline>
        </w:drawing>
      </w:r>
    </w:p>
    <w:p w14:paraId="20677D01" w14:textId="5F696A20"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 xml:space="preserve">Esta misma heterogeneidad en la implementación del PROTAI 2017-2021 puede apreciarse en las cuatro regiones de la República Mexicana: Norte, Centro Occidente, Centro y Sureste. Cabe resaltar en cada una de las regiones hay al menos dos Organismos Garantes </w:t>
      </w:r>
      <w:r w:rsidR="00404DD0" w:rsidRPr="00BA784D">
        <w:rPr>
          <w:rFonts w:ascii="Times New Roman" w:eastAsia="Times New Roman" w:hAnsi="Times New Roman" w:cs="Times New Roman"/>
          <w:sz w:val="24"/>
          <w:szCs w:val="24"/>
        </w:rPr>
        <w:t>L</w:t>
      </w:r>
      <w:r w:rsidRPr="00BA784D">
        <w:rPr>
          <w:rFonts w:ascii="Times New Roman" w:eastAsia="Times New Roman" w:hAnsi="Times New Roman" w:cs="Times New Roman"/>
          <w:sz w:val="24"/>
          <w:szCs w:val="24"/>
        </w:rPr>
        <w:t>ocales que mostraron un nivel por encima de la media de cumplimiento de acciones (71) y, en contraste, al menos un organismo garante que realizó entre 3 y 0 acciones, siendo la Región Centro donde hay más Organismos Garantes que ejecutaron el mayor número de acciones y el Sureste con el menor.</w:t>
      </w:r>
    </w:p>
    <w:p w14:paraId="3D335113"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74BA2B34"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noProof/>
          <w:sz w:val="24"/>
          <w:szCs w:val="24"/>
        </w:rPr>
        <w:drawing>
          <wp:inline distT="114300" distB="114300" distL="114300" distR="114300" wp14:anchorId="04A64EE7" wp14:editId="7B2D982E">
            <wp:extent cx="5612130" cy="3136900"/>
            <wp:effectExtent l="0" t="0" r="0" b="0"/>
            <wp:docPr id="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612130" cy="3136900"/>
                    </a:xfrm>
                    <a:prstGeom prst="rect">
                      <a:avLst/>
                    </a:prstGeom>
                    <a:ln/>
                  </pic:spPr>
                </pic:pic>
              </a:graphicData>
            </a:graphic>
          </wp:inline>
        </w:drawing>
      </w:r>
    </w:p>
    <w:p w14:paraId="251859E9" w14:textId="77777777" w:rsidR="00E35B30" w:rsidRPr="00BA784D" w:rsidRDefault="00E35B30">
      <w:pPr>
        <w:spacing w:line="360" w:lineRule="auto"/>
        <w:jc w:val="both"/>
        <w:rPr>
          <w:rFonts w:ascii="Times New Roman" w:eastAsia="Times New Roman" w:hAnsi="Times New Roman" w:cs="Times New Roman"/>
          <w:sz w:val="24"/>
          <w:szCs w:val="24"/>
        </w:rPr>
      </w:pPr>
    </w:p>
    <w:p w14:paraId="323E0867"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noProof/>
          <w:sz w:val="24"/>
          <w:szCs w:val="24"/>
        </w:rPr>
        <w:lastRenderedPageBreak/>
        <w:drawing>
          <wp:inline distT="114300" distB="114300" distL="114300" distR="114300" wp14:anchorId="1F34199E" wp14:editId="2CC79472">
            <wp:extent cx="5612130" cy="3136900"/>
            <wp:effectExtent l="0" t="0" r="0" b="0"/>
            <wp:docPr id="8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612130" cy="3136900"/>
                    </a:xfrm>
                    <a:prstGeom prst="rect">
                      <a:avLst/>
                    </a:prstGeom>
                    <a:ln/>
                  </pic:spPr>
                </pic:pic>
              </a:graphicData>
            </a:graphic>
          </wp:inline>
        </w:drawing>
      </w:r>
    </w:p>
    <w:p w14:paraId="10D51935"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noProof/>
          <w:sz w:val="24"/>
          <w:szCs w:val="24"/>
        </w:rPr>
        <w:drawing>
          <wp:inline distT="114300" distB="114300" distL="114300" distR="114300" wp14:anchorId="7F96AF47" wp14:editId="52CF3D23">
            <wp:extent cx="5612130" cy="3136900"/>
            <wp:effectExtent l="0" t="0" r="0" b="0"/>
            <wp:docPr id="9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612130" cy="3136900"/>
                    </a:xfrm>
                    <a:prstGeom prst="rect">
                      <a:avLst/>
                    </a:prstGeom>
                    <a:ln/>
                  </pic:spPr>
                </pic:pic>
              </a:graphicData>
            </a:graphic>
          </wp:inline>
        </w:drawing>
      </w:r>
    </w:p>
    <w:p w14:paraId="5A34CC29"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noProof/>
          <w:sz w:val="24"/>
          <w:szCs w:val="24"/>
        </w:rPr>
        <w:lastRenderedPageBreak/>
        <w:drawing>
          <wp:inline distT="114300" distB="114300" distL="114300" distR="114300" wp14:anchorId="73695BC7" wp14:editId="2BF2C8FF">
            <wp:extent cx="5612130" cy="3136900"/>
            <wp:effectExtent l="0" t="0" r="0" b="0"/>
            <wp:docPr id="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612130" cy="3136900"/>
                    </a:xfrm>
                    <a:prstGeom prst="rect">
                      <a:avLst/>
                    </a:prstGeom>
                    <a:ln/>
                  </pic:spPr>
                </pic:pic>
              </a:graphicData>
            </a:graphic>
          </wp:inline>
        </w:drawing>
      </w:r>
    </w:p>
    <w:p w14:paraId="36892CCB"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En el análisis del cumplimiento de las actividades de manera regional por organismo garante local se puede observar que en las cuatro regiones más del 50% de sus integrantes alcanzaron niveles de cumplimiento por encima del 60% de las actividades reportadas, hasta el 10% parcialmente cumplidas (166), menos 10% de las actividades se reportaron como no cumplidas (142) y poco más del 10% (195) no contestó el cuestionario de evaluación para conocer el avance de cumplimiento recopilado por la Secretaría Ejecutiva del SNT.</w:t>
      </w:r>
    </w:p>
    <w:p w14:paraId="478830CD" w14:textId="0F8B4E1F"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Sin embargo, a pesar de contar solo con tres años en los que se ejecutaron observaciones, se puede inferir una tendencia ligeramente a la baja en las actividades reportadas con cumplimiento pleno y un aumento en aquellas con un cumplimiento parcial o incluso no cumplido del todo. Cabe señalar que resulta interesante la disminución de actividades en las que no se contestó sobre el autoreporte, lo que muestra una permanente cooperación de</w:t>
      </w:r>
      <w:r w:rsidR="00EC37B3" w:rsidRPr="00BA784D">
        <w:rPr>
          <w:rFonts w:ascii="Times New Roman" w:eastAsia="Times New Roman" w:hAnsi="Times New Roman" w:cs="Times New Roman"/>
          <w:sz w:val="24"/>
          <w:szCs w:val="24"/>
        </w:rPr>
        <w:t xml:space="preserve"> </w:t>
      </w:r>
      <w:r w:rsidR="000C56F7" w:rsidRPr="00BA784D">
        <w:rPr>
          <w:rFonts w:ascii="Times New Roman" w:eastAsia="Times New Roman" w:hAnsi="Times New Roman" w:cs="Times New Roman"/>
          <w:sz w:val="24"/>
          <w:szCs w:val="24"/>
        </w:rPr>
        <w:t xml:space="preserve">las instituciones </w:t>
      </w:r>
      <w:r w:rsidRPr="00BA784D">
        <w:rPr>
          <w:rFonts w:ascii="Times New Roman" w:eastAsia="Times New Roman" w:hAnsi="Times New Roman" w:cs="Times New Roman"/>
          <w:sz w:val="24"/>
          <w:szCs w:val="24"/>
        </w:rPr>
        <w:t>integrantes del sistema con la Secretaría Ejecutiva.</w:t>
      </w:r>
    </w:p>
    <w:p w14:paraId="4EC50622"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noProof/>
          <w:sz w:val="24"/>
          <w:szCs w:val="24"/>
        </w:rPr>
        <w:lastRenderedPageBreak/>
        <w:drawing>
          <wp:inline distT="114300" distB="114300" distL="114300" distR="114300" wp14:anchorId="1C15A11A" wp14:editId="04D21A59">
            <wp:extent cx="5549338" cy="2972117"/>
            <wp:effectExtent l="0" t="0" r="0" b="0"/>
            <wp:docPr id="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549338" cy="2972117"/>
                    </a:xfrm>
                    <a:prstGeom prst="rect">
                      <a:avLst/>
                    </a:prstGeom>
                    <a:ln/>
                  </pic:spPr>
                </pic:pic>
              </a:graphicData>
            </a:graphic>
          </wp:inline>
        </w:drawing>
      </w:r>
    </w:p>
    <w:p w14:paraId="77892223" w14:textId="6E40AC0A"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Dentro de los datos reportados de las 1, 866 acciones cumplidas (79%) de un total de 2,369 consideradas para los Organismos Garantes </w:t>
      </w:r>
      <w:r w:rsidR="00404DD0" w:rsidRPr="00BA784D">
        <w:rPr>
          <w:rFonts w:ascii="Times New Roman" w:eastAsia="Times New Roman" w:hAnsi="Times New Roman" w:cs="Times New Roman"/>
          <w:sz w:val="24"/>
          <w:szCs w:val="24"/>
        </w:rPr>
        <w:t>L</w:t>
      </w:r>
      <w:r w:rsidRPr="00BA784D">
        <w:rPr>
          <w:rFonts w:ascii="Times New Roman" w:eastAsia="Times New Roman" w:hAnsi="Times New Roman" w:cs="Times New Roman"/>
          <w:sz w:val="24"/>
          <w:szCs w:val="24"/>
        </w:rPr>
        <w:t>ocales en el periodo 2018-2020 en la siguiente gráfica destacan correspondientes a los estados de: Nuevo León, Puebla, Chihuahua, Veracruz y Oaxaca que tienen los mayores índices de cumplimiento de actividades, y Nayarit, Sonora y Baja California Sur reportaron actividades, pero no las completaron.</w:t>
      </w:r>
    </w:p>
    <w:p w14:paraId="62EF861C"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noProof/>
          <w:sz w:val="24"/>
          <w:szCs w:val="24"/>
        </w:rPr>
        <w:drawing>
          <wp:inline distT="114300" distB="114300" distL="114300" distR="114300" wp14:anchorId="0B4968C8" wp14:editId="1A4566B9">
            <wp:extent cx="5612130" cy="3492500"/>
            <wp:effectExtent l="0" t="0" r="0" b="0"/>
            <wp:docPr id="9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612130" cy="3492500"/>
                    </a:xfrm>
                    <a:prstGeom prst="rect">
                      <a:avLst/>
                    </a:prstGeom>
                    <a:ln/>
                  </pic:spPr>
                </pic:pic>
              </a:graphicData>
            </a:graphic>
          </wp:inline>
        </w:drawing>
      </w:r>
    </w:p>
    <w:p w14:paraId="19F8C182" w14:textId="4214DEFD"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Asimismo, desde los datos de las gráficas mostradas previamente no es posible afirmar que </w:t>
      </w:r>
      <w:r w:rsidRPr="00BA784D">
        <w:rPr>
          <w:rFonts w:ascii="Times New Roman" w:eastAsia="Times New Roman" w:hAnsi="Times New Roman" w:cs="Times New Roman"/>
          <w:sz w:val="24"/>
          <w:szCs w:val="24"/>
        </w:rPr>
        <w:lastRenderedPageBreak/>
        <w:t>la implementación del PROTAI se vio afectada por la pandemia de COVID-19 en el año 2020, puesto que diversos Organismos Garantes de los estados reportaron un incremento de sus acciones realizadas en dicho año. Las dificultades o imprevistos que obstaculizaron el cumplimiento del PROTAI en algunos casos se refieren a circunstancias específicas. Según los datos que reportaron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a la Secretaría Ejecutiva, el mayor número de actividades con incidencias reportadas fueron a causa de falta de recursos humanos, y otras causas de imprevistos tales como recursos materiales y económicos, y desastres naturales o contingencia sanitaria solamente se consideró que afectaron a 13 actividades; al parecer, gracias a los mecanismos flexibles de ejecución y seguimiento donde 19</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realizaron modificaciones a sus rutas de implementación originales (de 30 integrantes en total) derivado de la contingencia sanitaria nacional</w:t>
      </w:r>
      <w:r w:rsidRPr="00BA784D">
        <w:rPr>
          <w:rFonts w:ascii="Times New Roman" w:eastAsia="Times New Roman" w:hAnsi="Times New Roman" w:cs="Times New Roman"/>
          <w:sz w:val="24"/>
          <w:szCs w:val="24"/>
          <w:vertAlign w:val="superscript"/>
        </w:rPr>
        <w:footnoteReference w:id="1"/>
      </w:r>
      <w:r w:rsidRPr="00BA784D">
        <w:rPr>
          <w:rFonts w:ascii="Times New Roman" w:eastAsia="Times New Roman" w:hAnsi="Times New Roman" w:cs="Times New Roman"/>
          <w:sz w:val="24"/>
          <w:szCs w:val="24"/>
        </w:rPr>
        <w:t xml:space="preserve">. Estas cifras son útiles para orientar la atención de los Organismos Garantes hacia mejores diseños institucionales con los recursos humanos y económicos disponibles. </w:t>
      </w:r>
    </w:p>
    <w:p w14:paraId="772449D3"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noProof/>
          <w:sz w:val="24"/>
          <w:szCs w:val="24"/>
        </w:rPr>
        <w:lastRenderedPageBreak/>
        <w:drawing>
          <wp:inline distT="114300" distB="114300" distL="114300" distR="114300" wp14:anchorId="7382852B" wp14:editId="713BCB23">
            <wp:extent cx="5612130" cy="3975100"/>
            <wp:effectExtent l="0" t="0" r="0" b="0"/>
            <wp:docPr id="9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5612130" cy="3975100"/>
                    </a:xfrm>
                    <a:prstGeom prst="rect">
                      <a:avLst/>
                    </a:prstGeom>
                    <a:ln/>
                  </pic:spPr>
                </pic:pic>
              </a:graphicData>
            </a:graphic>
          </wp:inline>
        </w:drawing>
      </w:r>
    </w:p>
    <w:p w14:paraId="46312D4C"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Mientras que la correspondencia, es decir, las acciones reportadas como ejecutadas y las evidencias entregadas por los Organismos Garantes, se confirma que 1,566 si corresponden a un cumplimiento y 363 no fueron reportadas de manera correspondiente con las evidencias entregadas. Tanto la consistencia como la correspondencia son dos criterios de evaluación relevantes dentro del PROTAI que amerita cada vez mejores herramientas de medición para diagnosticar, valorar, medir y advertir los riesgos que pueden enfrentar los Organismos Garantes en su labor de cumplimiento del programa, sin olvidar que sus objetivos generales buscan promover el derecho de acceso a la información y la transparencia a través de acciones coordinadas y conjuntas del SNT y sus integrantes.</w:t>
      </w:r>
    </w:p>
    <w:p w14:paraId="67A38A02" w14:textId="35BB645B"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La legislación mexicana en materia de transparencia y acceso a la información establece que el derecho debe ser garantizado con un enfoque de género y de las diversidades. De ahí que el PROTAI 2017-2021 previó actividades que impulsan estos enfoques, aunque en la práctica se reportó una cifra baja de implementación tanto entre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federales como estatales. En todos los casos, se observa que estas actividades no fueron consistentes a lo largo de los años (o no se repitieron), y como máximo, cada sujeto del </w:t>
      </w:r>
      <w:r w:rsidRPr="00BA784D">
        <w:rPr>
          <w:rFonts w:ascii="Times New Roman" w:eastAsia="Times New Roman" w:hAnsi="Times New Roman" w:cs="Times New Roman"/>
          <w:sz w:val="24"/>
          <w:szCs w:val="24"/>
        </w:rPr>
        <w:lastRenderedPageBreak/>
        <w:t xml:space="preserve">PROTAI llevó a cabo hasta 10 actividades o menos durante el periodo de 2018-2020. </w:t>
      </w:r>
    </w:p>
    <w:p w14:paraId="07F260EC"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noProof/>
          <w:sz w:val="24"/>
          <w:szCs w:val="24"/>
        </w:rPr>
        <w:drawing>
          <wp:inline distT="114300" distB="114300" distL="114300" distR="114300" wp14:anchorId="1DECFC1F" wp14:editId="2790F539">
            <wp:extent cx="5612130" cy="3251200"/>
            <wp:effectExtent l="0" t="0" r="0" b="0"/>
            <wp:docPr id="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612130" cy="3251200"/>
                    </a:xfrm>
                    <a:prstGeom prst="rect">
                      <a:avLst/>
                    </a:prstGeom>
                    <a:ln/>
                  </pic:spPr>
                </pic:pic>
              </a:graphicData>
            </a:graphic>
          </wp:inline>
        </w:drawing>
      </w:r>
    </w:p>
    <w:p w14:paraId="787CEA50" w14:textId="3CC33BA5"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Estas cifras resultan contundentes para considerar que el PROTAI 2022-</w:t>
      </w:r>
      <w:r w:rsidR="00415C91" w:rsidRPr="00BA784D">
        <w:rPr>
          <w:rFonts w:ascii="Times New Roman" w:eastAsia="Times New Roman" w:hAnsi="Times New Roman" w:cs="Times New Roman"/>
          <w:sz w:val="24"/>
          <w:szCs w:val="24"/>
        </w:rPr>
        <w:t xml:space="preserve">2026 </w:t>
      </w:r>
      <w:r w:rsidRPr="00BA784D">
        <w:rPr>
          <w:rFonts w:ascii="Times New Roman" w:eastAsia="Times New Roman" w:hAnsi="Times New Roman" w:cs="Times New Roman"/>
          <w:sz w:val="24"/>
          <w:szCs w:val="24"/>
        </w:rPr>
        <w:t xml:space="preserve">deberá considerar dentro de sus objetivos prioritarios la promoción del enfoque de derechos humanos, género y diversidades, hacer operativo el fundamento jurídico de la Ley, así como dar cumplimiento a las disposiciones normativas. </w:t>
      </w:r>
    </w:p>
    <w:p w14:paraId="6B36022F" w14:textId="77777777" w:rsidR="00E35B30" w:rsidRPr="00BA784D" w:rsidRDefault="00E35B30">
      <w:pPr>
        <w:spacing w:line="360" w:lineRule="auto"/>
        <w:jc w:val="both"/>
        <w:rPr>
          <w:rFonts w:ascii="Times New Roman" w:eastAsia="Times New Roman" w:hAnsi="Times New Roman" w:cs="Times New Roman"/>
          <w:sz w:val="24"/>
          <w:szCs w:val="24"/>
        </w:rPr>
      </w:pPr>
    </w:p>
    <w:p w14:paraId="11FEC07C" w14:textId="274F0EF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El análisis de datos permitió hacer una valoración específica sobre el cumplimiento de objetivos, estrategias y ejes del PROTAI 2017-2021 con los datos de la Dirección General Técnica, Seguimiento y Normatividad dentro de la Secretaría Ejecutiva del SNT, mismo que se describe en el diagnóstico del presente programa.</w:t>
      </w:r>
    </w:p>
    <w:p w14:paraId="1EFDED94" w14:textId="7BFBE42D" w:rsidR="00FD69BE" w:rsidRPr="00BA784D" w:rsidRDefault="00FD69BE">
      <w:pPr>
        <w:spacing w:line="360" w:lineRule="auto"/>
        <w:jc w:val="both"/>
        <w:rPr>
          <w:rFonts w:ascii="Times New Roman" w:eastAsia="Times New Roman" w:hAnsi="Times New Roman" w:cs="Times New Roman"/>
          <w:sz w:val="24"/>
          <w:szCs w:val="24"/>
        </w:rPr>
      </w:pPr>
    </w:p>
    <w:p w14:paraId="096D9421" w14:textId="573F9464" w:rsidR="00FD69BE" w:rsidRPr="00BA784D" w:rsidRDefault="00FD69BE">
      <w:pPr>
        <w:spacing w:line="360" w:lineRule="auto"/>
        <w:jc w:val="both"/>
        <w:rPr>
          <w:rFonts w:ascii="Times New Roman" w:eastAsia="Times New Roman" w:hAnsi="Times New Roman" w:cs="Times New Roman"/>
          <w:sz w:val="24"/>
          <w:szCs w:val="24"/>
        </w:rPr>
      </w:pPr>
    </w:p>
    <w:p w14:paraId="3D2CA9D4" w14:textId="0ECBDF41" w:rsidR="00FD69BE" w:rsidRPr="00BA784D" w:rsidRDefault="00FD69BE">
      <w:pPr>
        <w:spacing w:line="360" w:lineRule="auto"/>
        <w:jc w:val="both"/>
        <w:rPr>
          <w:rFonts w:ascii="Times New Roman" w:eastAsia="Times New Roman" w:hAnsi="Times New Roman" w:cs="Times New Roman"/>
          <w:sz w:val="24"/>
          <w:szCs w:val="24"/>
        </w:rPr>
      </w:pPr>
    </w:p>
    <w:p w14:paraId="3E4083C0" w14:textId="6B6D896B" w:rsidR="00FD69BE" w:rsidRPr="00BA784D" w:rsidRDefault="00FD69BE">
      <w:pPr>
        <w:spacing w:line="360" w:lineRule="auto"/>
        <w:jc w:val="both"/>
        <w:rPr>
          <w:rFonts w:ascii="Times New Roman" w:eastAsia="Times New Roman" w:hAnsi="Times New Roman" w:cs="Times New Roman"/>
          <w:sz w:val="24"/>
          <w:szCs w:val="24"/>
        </w:rPr>
      </w:pPr>
    </w:p>
    <w:p w14:paraId="643DB39F" w14:textId="2C858500" w:rsidR="00FD69BE" w:rsidRPr="00BA784D" w:rsidRDefault="00FD69BE">
      <w:pPr>
        <w:spacing w:line="360" w:lineRule="auto"/>
        <w:jc w:val="both"/>
        <w:rPr>
          <w:rFonts w:ascii="Times New Roman" w:eastAsia="Times New Roman" w:hAnsi="Times New Roman" w:cs="Times New Roman"/>
          <w:sz w:val="24"/>
          <w:szCs w:val="24"/>
        </w:rPr>
      </w:pPr>
    </w:p>
    <w:p w14:paraId="194C1FAD" w14:textId="3AEC380F" w:rsidR="00FD69BE" w:rsidRPr="00BA784D" w:rsidRDefault="00FD69BE">
      <w:pPr>
        <w:spacing w:line="360" w:lineRule="auto"/>
        <w:jc w:val="both"/>
        <w:rPr>
          <w:rFonts w:ascii="Times New Roman" w:eastAsia="Times New Roman" w:hAnsi="Times New Roman" w:cs="Times New Roman"/>
          <w:sz w:val="24"/>
          <w:szCs w:val="24"/>
        </w:rPr>
      </w:pPr>
    </w:p>
    <w:p w14:paraId="132F6EE5" w14:textId="796BE6E4" w:rsidR="00FD69BE" w:rsidRPr="00BA784D" w:rsidRDefault="00FD69BE">
      <w:pPr>
        <w:spacing w:line="360" w:lineRule="auto"/>
        <w:jc w:val="both"/>
        <w:rPr>
          <w:rFonts w:ascii="Times New Roman" w:eastAsia="Times New Roman" w:hAnsi="Times New Roman" w:cs="Times New Roman"/>
          <w:sz w:val="24"/>
          <w:szCs w:val="24"/>
        </w:rPr>
      </w:pPr>
    </w:p>
    <w:p w14:paraId="3B85ADF1" w14:textId="77777777" w:rsidR="00FD69BE" w:rsidRPr="00BA784D" w:rsidRDefault="00FD69BE">
      <w:pPr>
        <w:spacing w:line="360" w:lineRule="auto"/>
        <w:jc w:val="both"/>
        <w:rPr>
          <w:rFonts w:ascii="Times New Roman" w:eastAsia="Times New Roman" w:hAnsi="Times New Roman" w:cs="Times New Roman"/>
          <w:sz w:val="24"/>
          <w:szCs w:val="24"/>
        </w:rPr>
      </w:pPr>
    </w:p>
    <w:p w14:paraId="752B0ED0" w14:textId="77777777" w:rsidR="00E35B30" w:rsidRPr="00BA784D" w:rsidRDefault="00E35B30">
      <w:pPr>
        <w:spacing w:line="360" w:lineRule="auto"/>
        <w:jc w:val="both"/>
        <w:rPr>
          <w:rFonts w:ascii="Times New Roman" w:eastAsia="Times New Roman" w:hAnsi="Times New Roman" w:cs="Times New Roman"/>
          <w:sz w:val="24"/>
          <w:szCs w:val="24"/>
        </w:rPr>
      </w:pPr>
    </w:p>
    <w:p w14:paraId="0FE4437E" w14:textId="4CED4781" w:rsidR="00E35B30" w:rsidRPr="00BA784D" w:rsidRDefault="0036612A">
      <w:pPr>
        <w:pStyle w:val="Ttulo2"/>
        <w:spacing w:line="360" w:lineRule="auto"/>
        <w:ind w:firstLine="120"/>
        <w:rPr>
          <w:sz w:val="24"/>
          <w:szCs w:val="24"/>
        </w:rPr>
      </w:pPr>
      <w:bookmarkStart w:id="4" w:name="_Toc102051219"/>
      <w:r w:rsidRPr="00BA784D">
        <w:rPr>
          <w:sz w:val="24"/>
          <w:szCs w:val="24"/>
        </w:rPr>
        <w:lastRenderedPageBreak/>
        <w:t>Objetivos del PROTAI 2022-</w:t>
      </w:r>
      <w:r w:rsidR="00415C91" w:rsidRPr="00BA784D">
        <w:rPr>
          <w:sz w:val="24"/>
          <w:szCs w:val="24"/>
        </w:rPr>
        <w:t>2026</w:t>
      </w:r>
      <w:r w:rsidRPr="00BA784D">
        <w:rPr>
          <w:sz w:val="24"/>
          <w:szCs w:val="24"/>
        </w:rPr>
        <w:t>: Avanzar, mejorar y consolidar</w:t>
      </w:r>
      <w:bookmarkEnd w:id="4"/>
    </w:p>
    <w:p w14:paraId="42FDEB0D" w14:textId="77777777" w:rsidR="00E35B30" w:rsidRPr="00BA784D" w:rsidRDefault="0036612A">
      <w:pPr>
        <w:pBdr>
          <w:top w:val="nil"/>
          <w:left w:val="nil"/>
          <w:bottom w:val="nil"/>
          <w:right w:val="nil"/>
          <w:between w:val="nil"/>
        </w:pBdr>
        <w:spacing w:before="1" w:line="360" w:lineRule="auto"/>
        <w:ind w:left="360"/>
        <w:jc w:val="both"/>
        <w:rPr>
          <w:rFonts w:ascii="Times New Roman" w:eastAsia="Times New Roman" w:hAnsi="Times New Roman" w:cs="Times New Roman"/>
          <w:b/>
          <w:sz w:val="24"/>
          <w:szCs w:val="24"/>
        </w:rPr>
      </w:pPr>
      <w:bookmarkStart w:id="5" w:name="_heading=h.q73p4c251lpu" w:colFirst="0" w:colLast="0"/>
      <w:bookmarkEnd w:id="5"/>
      <w:r w:rsidRPr="00BA784D">
        <w:rPr>
          <w:rFonts w:ascii="Times New Roman" w:eastAsia="Times New Roman" w:hAnsi="Times New Roman" w:cs="Times New Roman"/>
          <w:b/>
          <w:sz w:val="24"/>
          <w:szCs w:val="24"/>
        </w:rPr>
        <w:t xml:space="preserve"> </w:t>
      </w:r>
    </w:p>
    <w:p w14:paraId="222F26FE" w14:textId="057F8C80"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Esta edición del PROTAI como el anterior, tiene por objeto fortalecer el cumplimiento normativo, la difusión, la capacitación, la profesionalización y los procedimientos institucionales de la garantía progresiva del derecho de acceso a la información, la transparencia y la rendición de cuentas, a través de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Sistema Nacional de Transparencia, Acceso a la Información Pública y Protección de Datos Personales. El PROTAI es una herramienta de política pública que ha mejorado la coordinación entre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para impulsar las capacidades institucionales, profesionales, de autosuficiencia e independencia para la consecución del cumplimiento del marco normativo en la materia. También, ha promovido acciones institucionalizadas para la resolución de problemas sociales de trascendencia para la vida pública, el acceso a los servicios, trámites y programas sociales. </w:t>
      </w:r>
    </w:p>
    <w:p w14:paraId="05F7ACE1" w14:textId="6E46AFD3"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El presente PROTAI 2022-</w:t>
      </w:r>
      <w:r w:rsidR="00415C91" w:rsidRPr="00BA784D">
        <w:rPr>
          <w:rFonts w:ascii="Times New Roman" w:eastAsia="Times New Roman" w:hAnsi="Times New Roman" w:cs="Times New Roman"/>
          <w:sz w:val="24"/>
          <w:szCs w:val="24"/>
        </w:rPr>
        <w:t xml:space="preserve">2026 </w:t>
      </w:r>
      <w:r w:rsidRPr="00BA784D">
        <w:rPr>
          <w:rFonts w:ascii="Times New Roman" w:eastAsia="Times New Roman" w:hAnsi="Times New Roman" w:cs="Times New Roman"/>
          <w:sz w:val="24"/>
          <w:szCs w:val="24"/>
        </w:rPr>
        <w:t>recupera los avances alcanzados en la edición anterior en sus objetivos generales y enfoca nuevamente sus estrategias para avanzar hacia un cumplimiento de acciones más estandarizado entre tod</w:t>
      </w:r>
      <w:r w:rsidR="003D330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Derivado del análisis diagnóstico del programa anterior, fue posible aprender que </w:t>
      </w:r>
      <w:r w:rsidR="008B209A" w:rsidRPr="00BA784D">
        <w:rPr>
          <w:rFonts w:ascii="Times New Roman" w:eastAsia="Times New Roman" w:hAnsi="Times New Roman" w:cs="Times New Roman"/>
          <w:sz w:val="24"/>
          <w:szCs w:val="24"/>
        </w:rPr>
        <w:t xml:space="preserve">las y </w:t>
      </w:r>
      <w:r w:rsidRPr="00BA784D">
        <w:rPr>
          <w:rFonts w:ascii="Times New Roman" w:eastAsia="Times New Roman" w:hAnsi="Times New Roman" w:cs="Times New Roman"/>
          <w:sz w:val="24"/>
          <w:szCs w:val="24"/>
        </w:rPr>
        <w:t>los integrantes federales del SNT con facultades</w:t>
      </w:r>
      <w:r w:rsidR="00FF2B66" w:rsidRPr="00BA784D">
        <w:rPr>
          <w:rFonts w:ascii="Times New Roman" w:eastAsia="Times New Roman" w:hAnsi="Times New Roman" w:cs="Times New Roman"/>
          <w:sz w:val="24"/>
          <w:szCs w:val="24"/>
        </w:rPr>
        <w:t xml:space="preserve"> y atribuciones</w:t>
      </w:r>
      <w:r w:rsidRPr="00BA784D">
        <w:rPr>
          <w:rFonts w:ascii="Times New Roman" w:eastAsia="Times New Roman" w:hAnsi="Times New Roman" w:cs="Times New Roman"/>
          <w:sz w:val="24"/>
          <w:szCs w:val="24"/>
        </w:rPr>
        <w:t xml:space="preserve"> diversas a aquellas de los Organismos Garantes, emprenden acciones del PROTAI cuando están más apegadas a sus funciones centrales. Es así que el INAI emprendió acciones en todos los ejes en su calidad de organismo garante, la ASF especialmente en los objetivos de rendición de cuentas, el AGN en tanto al eje de archivos y el INEGI en materia de derechos humanos, género y diversidades. Es por ello que se proponen ciertas acciones particulares que podrían cumplir dichos integrantes federales, y se reforzaron las acciones dirigidas hacia los Organismos Garantes, buscando lograr un cumplimiento más homogéneo de la política nacional entre estas instituciones. </w:t>
      </w:r>
    </w:p>
    <w:p w14:paraId="09AFD59C" w14:textId="57E27FD1"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 través de los mecanismos de participación y retroalimentación de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se ha identificado que los enlaces responsables de dar seguimiento a la implementación del PROTAI percibieron una lista amplia y a veces repetitiva de actividades en su primera edición. Es por ello que el programa actual fue revisado con datos e </w:t>
      </w:r>
      <w:r w:rsidRPr="00BA784D">
        <w:rPr>
          <w:rFonts w:ascii="Times New Roman" w:eastAsia="Times New Roman" w:hAnsi="Times New Roman" w:cs="Times New Roman"/>
          <w:sz w:val="24"/>
          <w:szCs w:val="24"/>
        </w:rPr>
        <w:lastRenderedPageBreak/>
        <w:t>información reportada de las actividades realizadas para diferenciar su contenido y concentrar los objetivos en las acciones más efectivas, viables y relevantes. Al mismo tiempo, el nuevo diseño busca consolidar las prácticas de aquell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que han ajustado y adoptado la planeación de acciones del PROTAI, desde la inclusión de acciones del PROTAI en sus planes institucionales y hasta la creación de áreas o equipos de planeación de política pública. </w:t>
      </w:r>
    </w:p>
    <w:p w14:paraId="39A2790B" w14:textId="274E5DC1"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Un hallazgo importante del análisis de datos de los reportes de desempeño del PROTAI 2017-2021, es la cantidad mínima de actividades que los sujetos reportaron dentro del eje B. Derechos Humanos, Perspectiva de Género e Inclusión Social. El diseño del programa contenía diversas actividades susceptibles a ser implementadas con perspectiva de género de manera optativa, lo que generó poca claridad entre los operadores. Esta edición del PROTAI busca mejorar y definir acciones específicas para hacer más fácil que los Organismos Garantes y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reporten avances en el enfoque de derechos humanos, género y diversidad, tales como promover la desagregación de datos por género y diversidades entre los sujetos obligados de las leyes de transparencia, o enfatizar el uso práctico del derecho para la defensa de los derechos y por parte de las comunidades indígenas. Los nuevos objetivos dentro del PROTAI se alinean a la conceptualización y operativización del enfoque de género aplicado a la garantía del derecho de acceso a la información. </w:t>
      </w:r>
    </w:p>
    <w:p w14:paraId="290A7DC1" w14:textId="0C442DA4"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En los últimos años, después de la publicación del primer PROTAI en el año 2017, se aprobaron diversas políticas nacionales y estatales en materia de anticorrupción que introdujeron prioridades de política pública y la creación de sistemas de coordinación en todos los niveles de gobierno. La rendición de cuentas y el combate a la corrupción son temas que cada vez interesan más al SNT. A través de su Comisión temática se ha </w:t>
      </w:r>
      <w:r w:rsidR="00FF2B66" w:rsidRPr="00BA784D">
        <w:rPr>
          <w:rFonts w:ascii="Times New Roman" w:eastAsia="Times New Roman" w:hAnsi="Times New Roman" w:cs="Times New Roman"/>
          <w:sz w:val="24"/>
          <w:szCs w:val="24"/>
        </w:rPr>
        <w:t xml:space="preserve">acentuado </w:t>
      </w:r>
      <w:r w:rsidRPr="00BA784D">
        <w:rPr>
          <w:rFonts w:ascii="Times New Roman" w:eastAsia="Times New Roman" w:hAnsi="Times New Roman" w:cs="Times New Roman"/>
          <w:sz w:val="24"/>
          <w:szCs w:val="24"/>
        </w:rPr>
        <w:t>la importancia de coordinar esfuerzos con los sistemas nacional y estatales en materia de anticorrupción, de manera proactiva con acciones emprendidas desde los Organismos Garantes estatales y los integrantes federales del SNT. Retomando este importante debate, el PROTAI 2022-</w:t>
      </w:r>
      <w:r w:rsidR="00415C91" w:rsidRPr="00BA784D">
        <w:rPr>
          <w:rFonts w:ascii="Times New Roman" w:eastAsia="Times New Roman" w:hAnsi="Times New Roman" w:cs="Times New Roman"/>
          <w:sz w:val="24"/>
          <w:szCs w:val="24"/>
        </w:rPr>
        <w:t xml:space="preserve">2026 </w:t>
      </w:r>
      <w:r w:rsidRPr="00BA784D">
        <w:rPr>
          <w:rFonts w:ascii="Times New Roman" w:eastAsia="Times New Roman" w:hAnsi="Times New Roman" w:cs="Times New Roman"/>
          <w:sz w:val="24"/>
          <w:szCs w:val="24"/>
        </w:rPr>
        <w:t xml:space="preserve">define de mejor manera las acciones que materializan la rendición de cuentas vertical (desde los ciudadanos hacia los gobiernos) y horizontal (entre los poderes) a través de la coordinación interinstitucional, la publicación de información y abriendo espacio a la participación social para conocer sus demandas informativas, así como de las acciones </w:t>
      </w:r>
      <w:r w:rsidRPr="00BA784D">
        <w:rPr>
          <w:rFonts w:ascii="Times New Roman" w:eastAsia="Times New Roman" w:hAnsi="Times New Roman" w:cs="Times New Roman"/>
          <w:sz w:val="24"/>
          <w:szCs w:val="24"/>
        </w:rPr>
        <w:lastRenderedPageBreak/>
        <w:t>destinadas al combate a la corrupción en línea con las prioridades establecidas por la Política Nacional Anticorrupción.</w:t>
      </w:r>
    </w:p>
    <w:p w14:paraId="12871807"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 pesar de los avances alcanzados con el PROTAI 2017-2022 y las acciones de los Organismos Garantes para ampliar la base de personas usuarias de la transparencia y el derecho de acceso a la información, el nuevo programa refuerza los objetivos, estrategias y acciones que deriven en mejores resultados para potenciar los beneficios que las personas pueden obtener para su vida social, política y económica.</w:t>
      </w:r>
    </w:p>
    <w:p w14:paraId="63B17FE2" w14:textId="6BECBCF8"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El PROTAI 2022-</w:t>
      </w:r>
      <w:r w:rsidR="00415C91" w:rsidRPr="00BA784D">
        <w:rPr>
          <w:rFonts w:ascii="Times New Roman" w:eastAsia="Times New Roman" w:hAnsi="Times New Roman" w:cs="Times New Roman"/>
          <w:sz w:val="24"/>
          <w:szCs w:val="24"/>
        </w:rPr>
        <w:t xml:space="preserve">2026 </w:t>
      </w:r>
      <w:r w:rsidRPr="00BA784D">
        <w:rPr>
          <w:rFonts w:ascii="Times New Roman" w:eastAsia="Times New Roman" w:hAnsi="Times New Roman" w:cs="Times New Roman"/>
          <w:sz w:val="24"/>
          <w:szCs w:val="24"/>
        </w:rPr>
        <w:t>mantiene la mayoría de los ejes temáticos y transversales de la edición anterior. El SNT incluyó algunas modificaciones en los ejes temáticos a partir de una reforma a los lineamientos para elaborar el programa. Se refinó el tema del eje 3 para incluir el concepto de Estado Abierto (en términos más amplios que el de Gobierno Abierto como estaba anteriormente); y se creó un nuevo eje temático llamado “Actividad Materialmente Jurisdiccional de los Organismos Garantes”, para impulsar acciones coordinadas y homologar la interpretación del derecho a lo largo del país. Igualmente, a partir del análisis técnico y diagnóstico, se añadió al diseño del PROTAI 2022-</w:t>
      </w:r>
      <w:r w:rsidR="00415C91" w:rsidRPr="00BA784D">
        <w:rPr>
          <w:rFonts w:ascii="Times New Roman" w:eastAsia="Times New Roman" w:hAnsi="Times New Roman" w:cs="Times New Roman"/>
          <w:sz w:val="24"/>
          <w:szCs w:val="24"/>
        </w:rPr>
        <w:t xml:space="preserve">2026 </w:t>
      </w:r>
      <w:r w:rsidRPr="00BA784D">
        <w:rPr>
          <w:rFonts w:ascii="Times New Roman" w:eastAsia="Times New Roman" w:hAnsi="Times New Roman" w:cs="Times New Roman"/>
          <w:sz w:val="24"/>
          <w:szCs w:val="24"/>
        </w:rPr>
        <w:t xml:space="preserve">un eje transversal sobre “Profesionalización y el Fortalecimiento Institucional”; se incorporó el eje 3 en Políticas de Transparencia, además de incluir de forma específica un apartado de Datos Abiertos; y se complementó el eje 4 con la temática Anticorrupción, dada la relevancia adquirida para el SNT. </w:t>
      </w:r>
    </w:p>
    <w:p w14:paraId="2B83FBE9" w14:textId="2A0A3032"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Los ejes temáticos del PROTAI 2022-</w:t>
      </w:r>
      <w:r w:rsidR="00415C91" w:rsidRPr="00BA784D">
        <w:rPr>
          <w:rFonts w:ascii="Times New Roman" w:eastAsia="Times New Roman" w:hAnsi="Times New Roman" w:cs="Times New Roman"/>
          <w:sz w:val="24"/>
          <w:szCs w:val="24"/>
        </w:rPr>
        <w:t xml:space="preserve">2026 </w:t>
      </w:r>
      <w:r w:rsidRPr="00BA784D">
        <w:rPr>
          <w:rFonts w:ascii="Times New Roman" w:eastAsia="Times New Roman" w:hAnsi="Times New Roman" w:cs="Times New Roman"/>
          <w:sz w:val="24"/>
          <w:szCs w:val="24"/>
        </w:rPr>
        <w:t xml:space="preserve">son los siguientes: </w:t>
      </w:r>
    </w:p>
    <w:p w14:paraId="0163E853" w14:textId="77777777" w:rsidR="00E35B30" w:rsidRPr="00BA784D" w:rsidRDefault="0036612A">
      <w:pPr>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Eje 1. Archivo y Gestión Documental</w:t>
      </w:r>
    </w:p>
    <w:p w14:paraId="70D460FC" w14:textId="77777777" w:rsidR="00E35B30" w:rsidRPr="00BA784D" w:rsidRDefault="0036612A">
      <w:pPr>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Eje 2. Derecho de Acceso a la Información</w:t>
      </w:r>
    </w:p>
    <w:p w14:paraId="1E99A387" w14:textId="77777777" w:rsidR="00E35B30" w:rsidRPr="00BA784D" w:rsidRDefault="0036612A">
      <w:pPr>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Eje 3. Políticas de Transparencia: Estado Abierto, Gobierno Digital, Transparencia Proactiva, SIPOT y Datos Abiertos</w:t>
      </w:r>
    </w:p>
    <w:p w14:paraId="07233A5A" w14:textId="77777777" w:rsidR="00E35B30" w:rsidRPr="00BA784D" w:rsidRDefault="0036612A">
      <w:pPr>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Eje 4. Rendición de Cuentas y Anticorrupción</w:t>
      </w:r>
    </w:p>
    <w:p w14:paraId="6D824D08" w14:textId="77777777" w:rsidR="00E35B30" w:rsidRPr="00BA784D" w:rsidRDefault="0036612A">
      <w:pPr>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Eje 5. Actividad Materialmente Jurisdiccional de los Organismos Garantes</w:t>
      </w:r>
    </w:p>
    <w:p w14:paraId="3AD230E8"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Los ejes transversales son: </w:t>
      </w:r>
    </w:p>
    <w:p w14:paraId="2CAAF7A5" w14:textId="77777777" w:rsidR="00E35B30" w:rsidRPr="00BA784D" w:rsidRDefault="0036612A">
      <w:pPr>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Eje A. Promoción, Difusión y Fomento de la Cultura de Transparencia y Acceso a la Información.</w:t>
      </w:r>
    </w:p>
    <w:p w14:paraId="35EB33BB" w14:textId="77777777" w:rsidR="00E35B30" w:rsidRPr="00BA784D" w:rsidRDefault="0036612A">
      <w:pPr>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Eje B. Derechos Humanos, Enfoque de Género e Inclusión Social</w:t>
      </w:r>
    </w:p>
    <w:p w14:paraId="1B2C6F04" w14:textId="77777777" w:rsidR="00E35B30" w:rsidRPr="00BA784D" w:rsidRDefault="0036612A">
      <w:pPr>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Eje C. Profesionalización y Fortalecimiento Institucional.</w:t>
      </w:r>
    </w:p>
    <w:p w14:paraId="12ABBD61" w14:textId="41B5D2E6"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Dada la presente estructura, recuperada de los lineamientos aprobados por el SNT y las consideraciones técnicas durante el diagnóstico y estudio de la experiencia reciente del anterior PROTAI, las transformaciones que sufre el programa se realizaron a nivel de objetivos, acciones y metas con el propósito de conservar la coherencia en la medición, seguimiento, evaluación y vigilancia del desempeño del programa a lo largo de los años. De ahí que en esta edición se proponga mejorar las herramientas de reporte y seguimiento del PROTAI para incrementar la calidad de los datos y contribuir en el trabajo cotidiano de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 xml:space="preserve">s </w:t>
      </w:r>
      <w:r w:rsidR="00EC37B3" w:rsidRPr="00BA784D">
        <w:rPr>
          <w:rFonts w:ascii="Times New Roman" w:eastAsia="Times New Roman" w:hAnsi="Times New Roman" w:cs="Times New Roman"/>
          <w:sz w:val="24"/>
          <w:szCs w:val="24"/>
        </w:rPr>
        <w:t xml:space="preserve">instituciones </w:t>
      </w:r>
      <w:r w:rsidRPr="00BA784D">
        <w:rPr>
          <w:rFonts w:ascii="Times New Roman" w:eastAsia="Times New Roman" w:hAnsi="Times New Roman" w:cs="Times New Roman"/>
          <w:sz w:val="24"/>
          <w:szCs w:val="24"/>
        </w:rPr>
        <w:t>integrantes del SNT en el cumplimiento de acciones y reporte de metas.</w:t>
      </w:r>
    </w:p>
    <w:p w14:paraId="618CEC4E"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Finalmente, el presente PROTAI ha sido alineado con:</w:t>
      </w:r>
    </w:p>
    <w:p w14:paraId="765263C5" w14:textId="77777777" w:rsidR="00E35B30" w:rsidRPr="00BA784D" w:rsidRDefault="0036612A">
      <w:pPr>
        <w:numPr>
          <w:ilvl w:val="0"/>
          <w:numId w:val="3"/>
        </w:numPr>
        <w:pBdr>
          <w:top w:val="nil"/>
          <w:left w:val="nil"/>
          <w:bottom w:val="nil"/>
          <w:right w:val="nil"/>
          <w:between w:val="nil"/>
        </w:pBdr>
        <w:spacing w:before="200"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b/>
          <w:color w:val="000000"/>
          <w:sz w:val="24"/>
          <w:szCs w:val="24"/>
        </w:rPr>
        <w:t>El Objetivo de Desarrollo Sostenible 16</w:t>
      </w:r>
      <w:r w:rsidRPr="00BA784D">
        <w:rPr>
          <w:rFonts w:ascii="Times New Roman" w:eastAsia="Times New Roman" w:hAnsi="Times New Roman" w:cs="Times New Roman"/>
          <w:color w:val="000000"/>
          <w:sz w:val="24"/>
          <w:szCs w:val="24"/>
        </w:rPr>
        <w:t>: “Promover sociedades justas, pacíficas e inclusivas” y sus metas: 16.5 (Reducir considerablemente la corrupción y el soborno en todas sus formas), 16.6 (Crear a todos los niveles instituciones eficaces y transparentes que rindan cuentas), 16.7 (Garantizar la adopción en todos los niveles de decisiones inclusivas, participativas y representativas que respondan a las necesidades) y 16.10 (Garantizar el acceso público a la información y proteger las libertades fundamentales, de conformidad con las leyes nacionales y los acuerdos internacionales).</w:t>
      </w:r>
      <w:r w:rsidRPr="00BA784D">
        <w:rPr>
          <w:rFonts w:ascii="Times New Roman" w:eastAsia="Times New Roman" w:hAnsi="Times New Roman" w:cs="Times New Roman"/>
          <w:color w:val="000000"/>
          <w:sz w:val="24"/>
          <w:szCs w:val="24"/>
          <w:vertAlign w:val="superscript"/>
        </w:rPr>
        <w:footnoteReference w:id="2"/>
      </w:r>
    </w:p>
    <w:p w14:paraId="51CA6AEF" w14:textId="77777777" w:rsidR="00E35B30" w:rsidRPr="00BA784D" w:rsidRDefault="0036612A">
      <w:pPr>
        <w:numPr>
          <w:ilvl w:val="0"/>
          <w:numId w:val="3"/>
        </w:numPr>
        <w:pBdr>
          <w:top w:val="nil"/>
          <w:left w:val="nil"/>
          <w:bottom w:val="nil"/>
          <w:right w:val="nil"/>
          <w:between w:val="nil"/>
        </w:pBdr>
        <w:spacing w:before="200"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b/>
          <w:color w:val="000000"/>
          <w:sz w:val="24"/>
          <w:szCs w:val="24"/>
        </w:rPr>
        <w:t>El Plan Nacional de Desarrollo 2019-2024,</w:t>
      </w:r>
      <w:r w:rsidRPr="00BA784D">
        <w:rPr>
          <w:rFonts w:ascii="Times New Roman" w:eastAsia="Times New Roman" w:hAnsi="Times New Roman" w:cs="Times New Roman"/>
          <w:color w:val="000000"/>
          <w:sz w:val="24"/>
          <w:szCs w:val="24"/>
        </w:rPr>
        <w:t xml:space="preserve"> en su eje general: Justicia y Estado de Derecho; y sus ejes transversales: Igualdad de género, no discriminación e inclusión; Combate a la corrupción y mejora de la gestión pública; y Territorio y desarrollo sostenible. Los cuales buscan la regeneración ética como “intención ejemplificante de un ejercicio de gobierno austero, honesto, transparente, incluyente, respetuoso de las libertades, apegado a derecho, sensible a las necesidades de los más débiles y vulnerables y pendiente en todo momento del interés superior” y define como acciones prioritarias: recuperar la capacidad de las instituciones para desempeñar sus tareas legales, para atender las necesidades de la población, para garantizar los </w:t>
      </w:r>
      <w:r w:rsidRPr="00BA784D">
        <w:rPr>
          <w:rFonts w:ascii="Times New Roman" w:eastAsia="Times New Roman" w:hAnsi="Times New Roman" w:cs="Times New Roman"/>
          <w:color w:val="000000"/>
          <w:sz w:val="24"/>
          <w:szCs w:val="24"/>
        </w:rPr>
        <w:lastRenderedPageBreak/>
        <w:t>derechos de los ciudadanos y para incidir en forma positiva en el desarrollo del país; además de establecer la obligatoriedad de las declaraciones patrimonial, fiscal y de intereses de tod</w:t>
      </w:r>
      <w:r w:rsidRPr="00BA784D">
        <w:rPr>
          <w:rFonts w:ascii="Times New Roman" w:eastAsia="Times New Roman" w:hAnsi="Times New Roman" w:cs="Times New Roman"/>
          <w:sz w:val="24"/>
          <w:szCs w:val="24"/>
        </w:rPr>
        <w:t>a</w:t>
      </w:r>
      <w:r w:rsidRPr="00BA784D">
        <w:rPr>
          <w:rFonts w:ascii="Times New Roman" w:eastAsia="Times New Roman" w:hAnsi="Times New Roman" w:cs="Times New Roman"/>
          <w:color w:val="000000"/>
          <w:sz w:val="24"/>
          <w:szCs w:val="24"/>
        </w:rPr>
        <w:t xml:space="preserve">s </w:t>
      </w:r>
      <w:r w:rsidRPr="00BA784D">
        <w:rPr>
          <w:rFonts w:ascii="Times New Roman" w:eastAsia="Times New Roman" w:hAnsi="Times New Roman" w:cs="Times New Roman"/>
          <w:sz w:val="24"/>
          <w:szCs w:val="24"/>
        </w:rPr>
        <w:t>las personas del servicio público</w:t>
      </w:r>
      <w:r w:rsidRPr="00BA784D">
        <w:rPr>
          <w:rFonts w:ascii="Times New Roman" w:eastAsia="Times New Roman" w:hAnsi="Times New Roman" w:cs="Times New Roman"/>
          <w:color w:val="000000"/>
          <w:sz w:val="24"/>
          <w:szCs w:val="24"/>
        </w:rPr>
        <w:t>, monitorear en línea y en tiempo real el dinero para adquisiciones y realizar verificaciones obligatorias de los precios de mercado antes de cualquier adquisición. Así como transitar hacia una democracia participativa, pues “no es suficiente con que la sociedad esté informada y atenta; debe, además, participar e involucrarse en las decisiones relevantes de quienes la representan en la función pública; debe borrarse para siempre la separación entre el pueblo y el gobierno”.</w:t>
      </w:r>
      <w:r w:rsidRPr="00BA784D">
        <w:rPr>
          <w:rFonts w:ascii="Times New Roman" w:eastAsia="Times New Roman" w:hAnsi="Times New Roman" w:cs="Times New Roman"/>
          <w:color w:val="000000"/>
          <w:sz w:val="24"/>
          <w:szCs w:val="24"/>
          <w:vertAlign w:val="superscript"/>
        </w:rPr>
        <w:footnoteReference w:id="3"/>
      </w:r>
    </w:p>
    <w:p w14:paraId="5D754217" w14:textId="77777777" w:rsidR="00E35B30" w:rsidRPr="00BA784D" w:rsidRDefault="0036612A">
      <w:pPr>
        <w:numPr>
          <w:ilvl w:val="0"/>
          <w:numId w:val="3"/>
        </w:numPr>
        <w:pBdr>
          <w:top w:val="nil"/>
          <w:left w:val="nil"/>
          <w:bottom w:val="nil"/>
          <w:right w:val="nil"/>
          <w:between w:val="nil"/>
        </w:pBdr>
        <w:spacing w:before="200"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 xml:space="preserve">Y de forma especial con el diagnóstico y 22 de las 40 prioridades de la </w:t>
      </w:r>
      <w:r w:rsidRPr="00BA784D">
        <w:rPr>
          <w:rFonts w:ascii="Times New Roman" w:eastAsia="Times New Roman" w:hAnsi="Times New Roman" w:cs="Times New Roman"/>
          <w:b/>
          <w:color w:val="000000"/>
          <w:sz w:val="24"/>
          <w:szCs w:val="24"/>
        </w:rPr>
        <w:t>Política Nacional Anticorrupción</w:t>
      </w:r>
      <w:r w:rsidRPr="00BA784D">
        <w:rPr>
          <w:rFonts w:ascii="Times New Roman" w:eastAsia="Times New Roman" w:hAnsi="Times New Roman" w:cs="Times New Roman"/>
          <w:b/>
          <w:color w:val="000000"/>
          <w:sz w:val="24"/>
          <w:szCs w:val="24"/>
          <w:vertAlign w:val="superscript"/>
        </w:rPr>
        <w:footnoteReference w:id="4"/>
      </w:r>
      <w:r w:rsidRPr="00BA784D">
        <w:rPr>
          <w:rFonts w:ascii="Times New Roman" w:eastAsia="Times New Roman" w:hAnsi="Times New Roman" w:cs="Times New Roman"/>
          <w:color w:val="000000"/>
          <w:sz w:val="24"/>
          <w:szCs w:val="24"/>
        </w:rPr>
        <w:t xml:space="preserve">, por lo que incluso considera una vinculación directa desde el Eje de Rendición de Cuentas, temática que engloba el fin del propio SNT. </w:t>
      </w:r>
    </w:p>
    <w:p w14:paraId="76756271" w14:textId="77777777" w:rsidR="00E35B30" w:rsidRPr="00BA784D" w:rsidRDefault="0036612A">
      <w:pPr>
        <w:spacing w:line="360" w:lineRule="auto"/>
        <w:ind w:left="720"/>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Diagnóstico: </w:t>
      </w:r>
    </w:p>
    <w:p w14:paraId="104E6D15" w14:textId="77777777" w:rsidR="00E35B30" w:rsidRPr="00BA784D" w:rsidRDefault="0036612A">
      <w:pPr>
        <w:numPr>
          <w:ilvl w:val="0"/>
          <w:numId w:val="5"/>
        </w:num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El servicio público a escala nacional no se articula sobre bases mínimas de mérito, profesionalismo, integridad y congruencia.</w:t>
      </w:r>
    </w:p>
    <w:p w14:paraId="2BBB84FD" w14:textId="77777777" w:rsidR="00E35B30" w:rsidRPr="00BA784D" w:rsidRDefault="0036612A">
      <w:pPr>
        <w:widowControl/>
        <w:numPr>
          <w:ilvl w:val="0"/>
          <w:numId w:val="3"/>
        </w:num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Los procesos de planeación, presupuesto y ejercicio del gasto de las instituciones públicas carecen de transparencia y de criterios mínimos que permitan justificar las decisiones públicas.</w:t>
      </w:r>
    </w:p>
    <w:p w14:paraId="53E9A6E4" w14:textId="77777777" w:rsidR="00E35B30" w:rsidRPr="00BA784D" w:rsidRDefault="0036612A">
      <w:pPr>
        <w:widowControl/>
        <w:numPr>
          <w:ilvl w:val="0"/>
          <w:numId w:val="3"/>
        </w:num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Persisten espacios de opacidad y arbitrariedad en la interacción entre ciudadanos y empresas con el gobierno, al realizar trámites o solicitar servicios.</w:t>
      </w:r>
    </w:p>
    <w:p w14:paraId="45B44F85" w14:textId="77777777" w:rsidR="00E35B30" w:rsidRPr="00BA784D" w:rsidRDefault="0036612A">
      <w:pPr>
        <w:widowControl/>
        <w:numPr>
          <w:ilvl w:val="0"/>
          <w:numId w:val="3"/>
        </w:num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 xml:space="preserve">Los procesos de contrataciones públicas ocurren en un ambiente de opacidad, discrecionalidad y poca claridad sobre sus efectos en la entrega eficaz de bienes y servicios a la población. </w:t>
      </w:r>
    </w:p>
    <w:p w14:paraId="315B813A" w14:textId="77777777" w:rsidR="00E35B30" w:rsidRPr="00BA784D" w:rsidRDefault="0036612A">
      <w:pPr>
        <w:widowControl/>
        <w:numPr>
          <w:ilvl w:val="0"/>
          <w:numId w:val="3"/>
        </w:num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 xml:space="preserve">Las asociaciones público-privadas no cuentan con esquemas suficientes que brinden transparencia y claridad sobre las inversiones realizadas a través de estos mecanismos. </w:t>
      </w:r>
    </w:p>
    <w:p w14:paraId="1E7954BB" w14:textId="77777777" w:rsidR="00E35B30" w:rsidRPr="00BA784D" w:rsidRDefault="0036612A">
      <w:pPr>
        <w:widowControl/>
        <w:numPr>
          <w:ilvl w:val="0"/>
          <w:numId w:val="3"/>
        </w:num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lastRenderedPageBreak/>
        <w:t xml:space="preserve">No existen reglas claras que brinden transparencia y aminoren riesgos de captura y conflicto de interés en las labores de cabildeo. </w:t>
      </w:r>
    </w:p>
    <w:p w14:paraId="2FB4486D" w14:textId="77777777" w:rsidR="00E35B30" w:rsidRPr="00BA784D" w:rsidRDefault="0036612A">
      <w:pPr>
        <w:numPr>
          <w:ilvl w:val="0"/>
          <w:numId w:val="3"/>
        </w:num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Los esquemas de participación y vigilancia social tienen alcances acotados y, en muchas ocasiones, no tienen un funcionamiento adecuado. No existen estrategias sistemáticas que promuevan la colaboración y la co-creación entre autoridades, funcionarios y sociedad para el control de la corrupción.</w:t>
      </w:r>
    </w:p>
    <w:p w14:paraId="324B43CE" w14:textId="77777777" w:rsidR="00E35B30" w:rsidRPr="00BA784D" w:rsidRDefault="0036612A">
      <w:pPr>
        <w:widowControl/>
        <w:numPr>
          <w:ilvl w:val="0"/>
          <w:numId w:val="3"/>
        </w:num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 xml:space="preserve">Los procesos formativos impulsados desde el Sistema Educativo Nacional en materia de formación cívica, ética, integridad y derechos humanos no necesariamente transmiten valores y ni favorecen el desarrollo de capacidades prácticas que promuevan el control de la corrupción desde la sociedad. </w:t>
      </w:r>
    </w:p>
    <w:p w14:paraId="0C75173F" w14:textId="77777777" w:rsidR="00E35B30" w:rsidRPr="00BA784D" w:rsidRDefault="0036612A">
      <w:pPr>
        <w:widowControl/>
        <w:numPr>
          <w:ilvl w:val="0"/>
          <w:numId w:val="3"/>
        </w:numPr>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No existe evidencia suficiente sobre el impacto que tienen las campañas de comunicación y concientización para promover la cultura de la denuncia, y valores como la integridad y la imparcialidad.</w:t>
      </w:r>
    </w:p>
    <w:p w14:paraId="03098476" w14:textId="77777777" w:rsidR="00E35B30" w:rsidRPr="00BA784D" w:rsidRDefault="0036612A">
      <w:pPr>
        <w:widowControl/>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Prioridades:</w:t>
      </w:r>
    </w:p>
    <w:p w14:paraId="1F2B5BAA" w14:textId="77777777" w:rsidR="00E35B30" w:rsidRPr="00BA784D" w:rsidRDefault="0036612A">
      <w:pPr>
        <w:widowControl/>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Prioridad 4. Implementar estrategias efectivas para la difusión de las obligaciones de transparencia y publicación de información proactiva en materia de prevención, denuncia, detección, investigación, resolución y sanción de hechos de corrupción, en colaboración con el SNT.</w:t>
      </w:r>
    </w:p>
    <w:p w14:paraId="5D685676" w14:textId="77777777" w:rsidR="00E35B30" w:rsidRPr="00BA784D" w:rsidRDefault="0036612A">
      <w:pPr>
        <w:widowControl/>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Prioridad 10. Implementar mecanismos de gobierno abierto que fortalezcan las acciones de combate a la corrupción por parte de las instancias encargadas de la investigación, substanciación, determinación y resolución de faltas administrativas y delitos por hechos de corrupción</w:t>
      </w:r>
    </w:p>
    <w:p w14:paraId="06C9C536" w14:textId="77777777" w:rsidR="00E35B30" w:rsidRPr="00BA784D" w:rsidRDefault="0036612A">
      <w:pPr>
        <w:widowControl/>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 xml:space="preserve">Prioridad 11. Impulsar la adopción, socialización y fortalecimiento de políticas de integridad y prevención de conflictos de interés, en los entes públicos mediante comités de ética o entes homólogos. </w:t>
      </w:r>
    </w:p>
    <w:p w14:paraId="059F6204" w14:textId="77777777" w:rsidR="00E35B30" w:rsidRPr="00BA784D" w:rsidRDefault="0036612A">
      <w:pPr>
        <w:widowControl/>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 xml:space="preserve">Prioridad 12. Promover el diseño, implementación y evaluación del desempeño de programas de capacitación, certificación de capacidades y desarrollo profesional en el servicio público enfocadas al control de la corrupción, responsabilidades administrativas y ética pública. </w:t>
      </w:r>
    </w:p>
    <w:p w14:paraId="4E7FEC2C" w14:textId="77777777" w:rsidR="00E35B30" w:rsidRPr="00BA784D" w:rsidRDefault="0036612A">
      <w:pPr>
        <w:widowControl/>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 xml:space="preserve">Prioridad 13. Generar bases y criterios mínimos para el diseño, desarrollo y ejecución de programas de recursos humanos en el servicio público, en </w:t>
      </w:r>
      <w:r w:rsidRPr="00BA784D">
        <w:rPr>
          <w:rFonts w:ascii="Times New Roman" w:eastAsia="Times New Roman" w:hAnsi="Times New Roman" w:cs="Times New Roman"/>
          <w:color w:val="000000"/>
          <w:sz w:val="24"/>
          <w:szCs w:val="24"/>
        </w:rPr>
        <w:lastRenderedPageBreak/>
        <w:t xml:space="preserve">colaboración con la Comisión Permanente de Contralores Estados-Federación. </w:t>
      </w:r>
    </w:p>
    <w:p w14:paraId="1C944115" w14:textId="77777777" w:rsidR="00E35B30" w:rsidRPr="00BA784D" w:rsidRDefault="0036612A">
      <w:pPr>
        <w:widowControl/>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 xml:space="preserve">Prioridad 14. Generalizar el diseño, instrumentación y evaluación de servicios profesionales de carrera en todos los ámbitos de gobierno y poderes públicos, basados en el mérito, capacidades, desempeño y habilidades de acuerdo con el perfil de puesto, cargo o comisión, con perspectiva de género y fomento a la diversidad e inclusión. </w:t>
      </w:r>
    </w:p>
    <w:p w14:paraId="7E918815" w14:textId="77777777" w:rsidR="00E35B30" w:rsidRPr="00BA784D" w:rsidRDefault="0036612A">
      <w:pPr>
        <w:widowControl/>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 xml:space="preserve">Prioridad 15. Implementar un modelo de evaluación del desempeño del Sistema Nacional Anticorrupción, junto con una metodología nacional de anexo transversal presupuestal en materia de combate a la corrupción. </w:t>
      </w:r>
    </w:p>
    <w:p w14:paraId="301E9C72" w14:textId="77777777" w:rsidR="00E35B30" w:rsidRPr="00BA784D" w:rsidRDefault="0036612A">
      <w:pPr>
        <w:widowControl/>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Prioridad 16. Fomentar el desarrollo de políticas de transparencia proactiva y gobierno abierto que propicien, desde una perspectiva ciudadana, el seguimiento, evaluación, mejora, simplificación, gestión de riesgos y rendición de cuentas de los entes públicos, el ciclo presupuestal, las contrataciones públicas, las asociaciones público-privadas, el cabildeo y los programas públicos, en colaboración con el SNT e instancias públicas nacionales e internacionales.</w:t>
      </w:r>
    </w:p>
    <w:p w14:paraId="21647CFC" w14:textId="77777777" w:rsidR="00E35B30" w:rsidRPr="00BA784D" w:rsidRDefault="0036612A">
      <w:pPr>
        <w:widowControl/>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Prioridad 18. Impulsar políticas de archivo y procesos homologados de gestión documental, en colaboración con el Sistema Nacional de Archivos y el SNT, que mejoren la calidad de la información que las entidades públicas registran mediante sistemas informáticos actualizados.</w:t>
      </w:r>
    </w:p>
    <w:p w14:paraId="271B9289" w14:textId="77777777" w:rsidR="00E35B30" w:rsidRPr="00BA784D" w:rsidRDefault="0036612A">
      <w:pPr>
        <w:widowControl/>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Prioridad 20. Impulsar el desarrollo y utilización de metodologías de análisis de datos masivos e inteligencia artificial relacionadas con la identificación de riesgos, la evaluación, la mejora de la gestión, la auditoría y la fiscalización estratégicas de programas, procesos, actividades y funciones en el sector público.</w:t>
      </w:r>
    </w:p>
    <w:p w14:paraId="67D15414" w14:textId="77777777" w:rsidR="00E35B30" w:rsidRPr="00BA784D" w:rsidRDefault="0036612A">
      <w:pPr>
        <w:widowControl/>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 xml:space="preserve">Prioridad 21. Fomentar la colaboración interinstitucional y el intercambio de información que permitan un fortalecimiento y simplificación de los puntos de contacto gobierno sociedad, como trámites, servicios, seguridad ciudadana, programas sociales, servicios educativos y de salud, entre otros. </w:t>
      </w:r>
    </w:p>
    <w:p w14:paraId="649379F3" w14:textId="77777777" w:rsidR="00E35B30" w:rsidRPr="00BA784D" w:rsidRDefault="0036612A">
      <w:pPr>
        <w:widowControl/>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lastRenderedPageBreak/>
        <w:t xml:space="preserve">Prioridad 22. Fortalecer mecanismos de evaluación de los programas presupuestarios con enfoques de derechos humanos y gestión de riesgos de corrupción. </w:t>
      </w:r>
    </w:p>
    <w:p w14:paraId="08BA54B2" w14:textId="77777777" w:rsidR="00E35B30" w:rsidRPr="00BA784D" w:rsidRDefault="0036612A">
      <w:pPr>
        <w:widowControl/>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 xml:space="preserve">Prioridad 23. Promover la mejora, simplificación de los procesos institucionales y homologación de trámites y servicios públicos a través del desarrollo de sistemas de evaluación ciudadana y políticas de transparencia proactiva, en coordinación con el Sistema Nacional de Mejora Regulatoria. </w:t>
      </w:r>
    </w:p>
    <w:p w14:paraId="6F4FD5FA" w14:textId="77777777" w:rsidR="00E35B30" w:rsidRPr="00BA784D" w:rsidRDefault="0036612A">
      <w:pPr>
        <w:widowControl/>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Prioridad 24. Generar un sistema único que integre información sobre las políticas sociales, que incluya un catálogo nacional de programas sociales y un padrón universal de beneficiarios que aproveche la información pública existente.</w:t>
      </w:r>
    </w:p>
    <w:p w14:paraId="64D0C331" w14:textId="77777777" w:rsidR="00E35B30" w:rsidRPr="00BA784D" w:rsidRDefault="0036612A">
      <w:pPr>
        <w:widowControl/>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 xml:space="preserve">Prioridad 28. Desarrollar e implementar políticas de transparencia proactiva y gobierno abierto que </w:t>
      </w:r>
      <w:r w:rsidRPr="00BA784D">
        <w:rPr>
          <w:rFonts w:ascii="Times New Roman" w:eastAsia="Times New Roman" w:hAnsi="Times New Roman" w:cs="Times New Roman"/>
          <w:sz w:val="24"/>
          <w:szCs w:val="24"/>
        </w:rPr>
        <w:t>fortalezcan</w:t>
      </w:r>
      <w:r w:rsidRPr="00BA784D">
        <w:rPr>
          <w:rFonts w:ascii="Times New Roman" w:eastAsia="Times New Roman" w:hAnsi="Times New Roman" w:cs="Times New Roman"/>
          <w:color w:val="000000"/>
          <w:sz w:val="24"/>
          <w:szCs w:val="24"/>
        </w:rPr>
        <w:t xml:space="preserve"> la rendición de cuentas y la vigilancia social en materia de infraestructura, obra pública y asociaciones público-privadas, en colaboración con el SNT. </w:t>
      </w:r>
    </w:p>
    <w:p w14:paraId="37DD13E1" w14:textId="77777777" w:rsidR="00E35B30" w:rsidRPr="00BA784D" w:rsidRDefault="0036612A">
      <w:pPr>
        <w:widowControl/>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 xml:space="preserve">Prioridad 29. Desarrollar e implementar un sistema único de información sobre compras y adquisiciones públicas, que incluya un padrón nacional de proveedores de gobierno y un sistema nacional homologado de contrataciones públicas, vinculados a la Plataforma Digital Nacional. </w:t>
      </w:r>
    </w:p>
    <w:p w14:paraId="375079DA" w14:textId="77777777" w:rsidR="00E35B30" w:rsidRPr="00BA784D" w:rsidRDefault="0036612A">
      <w:pPr>
        <w:widowControl/>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Prioridad 30. Promover la creación y adopción de criterios y estándares unificados en las compras, contrataciones y adquisiciones públicas, que acoten espacios de arbitrariedad, y mejoren su transparencia y fiscalización.</w:t>
      </w:r>
    </w:p>
    <w:p w14:paraId="255F753E" w14:textId="77777777" w:rsidR="00E35B30" w:rsidRPr="00BA784D" w:rsidRDefault="0036612A">
      <w:pPr>
        <w:widowControl/>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 xml:space="preserve">Prioridad 31. Desarrollar una agenda estratégica, con un enfoque incluyente y perspectiva de género, de incidencia ciudadana en el control de la corrupción, en la que se promueva el fortalecimiento de los mecanismos de participación ciudadana existentes en la materia, y la creación de nuevos esquemas y redes de colaboración social. </w:t>
      </w:r>
    </w:p>
    <w:p w14:paraId="5A218538" w14:textId="77777777" w:rsidR="00E35B30" w:rsidRPr="00BA784D" w:rsidRDefault="0036612A">
      <w:pPr>
        <w:widowControl/>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Prioridad 32. Implementar políticas de transparencia proactiva y gobierno abierto que promuevan la participación ciudadana y el ejercicio de derechos en el combate de la corrupción, en colaboración con el SNT.</w:t>
      </w:r>
    </w:p>
    <w:p w14:paraId="530089F0" w14:textId="011BBA84" w:rsidR="00E35B30" w:rsidRPr="00BA784D" w:rsidRDefault="0036612A">
      <w:pPr>
        <w:widowControl/>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lastRenderedPageBreak/>
        <w:t xml:space="preserve">Prioridad 38. Adoptar prácticas homogéneas de parlamento abierto en los poderes legislativos federal y estatales, tendientes a un modelo de </w:t>
      </w:r>
      <w:r w:rsidR="00167DDE" w:rsidRPr="00BA784D">
        <w:rPr>
          <w:rFonts w:ascii="Times New Roman" w:eastAsia="Times New Roman" w:hAnsi="Times New Roman" w:cs="Times New Roman"/>
          <w:color w:val="000000"/>
          <w:sz w:val="24"/>
          <w:szCs w:val="24"/>
        </w:rPr>
        <w:t>E</w:t>
      </w:r>
      <w:r w:rsidRPr="00BA784D">
        <w:rPr>
          <w:rFonts w:ascii="Times New Roman" w:eastAsia="Times New Roman" w:hAnsi="Times New Roman" w:cs="Times New Roman"/>
          <w:color w:val="000000"/>
          <w:sz w:val="24"/>
          <w:szCs w:val="24"/>
        </w:rPr>
        <w:t xml:space="preserve">stado </w:t>
      </w:r>
      <w:r w:rsidR="00167DDE" w:rsidRPr="00BA784D">
        <w:rPr>
          <w:rFonts w:ascii="Times New Roman" w:eastAsia="Times New Roman" w:hAnsi="Times New Roman" w:cs="Times New Roman"/>
          <w:color w:val="000000"/>
          <w:sz w:val="24"/>
          <w:szCs w:val="24"/>
        </w:rPr>
        <w:t>A</w:t>
      </w:r>
      <w:r w:rsidRPr="00BA784D">
        <w:rPr>
          <w:rFonts w:ascii="Times New Roman" w:eastAsia="Times New Roman" w:hAnsi="Times New Roman" w:cs="Times New Roman"/>
          <w:color w:val="000000"/>
          <w:sz w:val="24"/>
          <w:szCs w:val="24"/>
        </w:rPr>
        <w:t xml:space="preserve">bierto. </w:t>
      </w:r>
    </w:p>
    <w:p w14:paraId="56B898CC" w14:textId="77777777" w:rsidR="00E35B30" w:rsidRPr="00BA784D" w:rsidRDefault="0036612A">
      <w:pPr>
        <w:widowControl/>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 xml:space="preserve">Prioridad 39. Homologar criterios a escala nacional para la realización de campañas de comunicación sobre la corrupción, sus costos, implicaciones y elementos disponibles para su combate. </w:t>
      </w:r>
    </w:p>
    <w:p w14:paraId="02CAB76F" w14:textId="77777777" w:rsidR="00E35B30" w:rsidRPr="00BA784D" w:rsidRDefault="0036612A">
      <w:pPr>
        <w:widowControl/>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Prioridad 40. Colaborar con el Sistema Educativo Nacional en materia de formación cívica, ética, integridad y derechos humanos.</w:t>
      </w:r>
    </w:p>
    <w:p w14:paraId="35EBD153" w14:textId="1FCF15D3"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Además, se han creado vasos comunicantes y de interacción con el PRONADATOS por medio de los ejes transversales, todo ello para maximizar esfuerzos en actividades ya planificadas en los diversos instrumentos de los propios integrantes como sus programas institucionales de los integrantes federales y los programas operativos anuales de los Organismos Garantes </w:t>
      </w:r>
      <w:r w:rsidR="00404DD0" w:rsidRPr="00BA784D">
        <w:rPr>
          <w:rFonts w:ascii="Times New Roman" w:eastAsia="Times New Roman" w:hAnsi="Times New Roman" w:cs="Times New Roman"/>
          <w:sz w:val="24"/>
          <w:szCs w:val="24"/>
        </w:rPr>
        <w:t>L</w:t>
      </w:r>
      <w:r w:rsidRPr="00BA784D">
        <w:rPr>
          <w:rFonts w:ascii="Times New Roman" w:eastAsia="Times New Roman" w:hAnsi="Times New Roman" w:cs="Times New Roman"/>
          <w:sz w:val="24"/>
          <w:szCs w:val="24"/>
        </w:rPr>
        <w:t>ocales.</w:t>
      </w:r>
    </w:p>
    <w:p w14:paraId="32CA393E" w14:textId="77777777" w:rsidR="00E35B30" w:rsidRPr="00BA784D" w:rsidRDefault="0036612A">
      <w:pPr>
        <w:spacing w:line="360" w:lineRule="auto"/>
        <w:jc w:val="both"/>
        <w:rPr>
          <w:rFonts w:ascii="Times New Roman" w:eastAsia="Times New Roman" w:hAnsi="Times New Roman" w:cs="Times New Roman"/>
          <w:sz w:val="24"/>
          <w:szCs w:val="24"/>
        </w:rPr>
      </w:pPr>
      <w:r w:rsidRPr="00BA784D">
        <w:br w:type="page"/>
      </w:r>
    </w:p>
    <w:p w14:paraId="1302D312" w14:textId="77777777" w:rsidR="00E35B30" w:rsidRPr="00BA784D" w:rsidRDefault="0036612A">
      <w:pPr>
        <w:pStyle w:val="Ttulo2"/>
        <w:spacing w:line="360" w:lineRule="auto"/>
        <w:ind w:left="0"/>
        <w:rPr>
          <w:sz w:val="24"/>
          <w:szCs w:val="24"/>
        </w:rPr>
      </w:pPr>
      <w:bookmarkStart w:id="6" w:name="_Toc102051220"/>
      <w:r w:rsidRPr="00BA784D">
        <w:rPr>
          <w:sz w:val="24"/>
          <w:szCs w:val="24"/>
        </w:rPr>
        <w:lastRenderedPageBreak/>
        <w:t>Marco normativo. El modelo mexicano de acceso a la información pública</w:t>
      </w:r>
      <w:bookmarkEnd w:id="6"/>
    </w:p>
    <w:p w14:paraId="6E682151" w14:textId="77777777" w:rsidR="00E35B30" w:rsidRPr="00BA784D" w:rsidRDefault="0036612A">
      <w:pPr>
        <w:pBdr>
          <w:top w:val="nil"/>
          <w:left w:val="nil"/>
          <w:bottom w:val="nil"/>
          <w:right w:val="nil"/>
          <w:between w:val="nil"/>
        </w:pBd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El derecho a la información en México es un derecho fundamental regulado en su garantía de manera sólida. Durante estas dos décadas, el derecho de la información ha generado cambios sustantivos en el sistema jurídico y político mexicano, empoderando a la ciudadanía e instaurado el principio de la transparencia gubernamental entre la cultura burocrática. </w:t>
      </w:r>
    </w:p>
    <w:p w14:paraId="2BD32114" w14:textId="77777777" w:rsidR="00E35B30" w:rsidRPr="00BA784D" w:rsidRDefault="0036612A">
      <w:pPr>
        <w:pBdr>
          <w:top w:val="nil"/>
          <w:left w:val="nil"/>
          <w:bottom w:val="nil"/>
          <w:right w:val="nil"/>
          <w:between w:val="nil"/>
        </w:pBd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El fundamento constitucional del derecho de acceso a la información</w:t>
      </w:r>
      <w:r w:rsidR="00FF2B66"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 xml:space="preserve"> lo encontramos en el artículo 6° Constitucional, que desde 1977 reconoce que el derecho a la información será garantizado por el Estado Mexicano. La redacción actual es fruto de varias reformas constitucionales, de las que destacan la de 2007, 2013 y 2014, siendo esta última la más reciente de la cual se desprende un andamiaje normativo e institucional bastante robusto. El texto constitucional contiene las bases para el ejercicio del derecho de acceso a la información pública, establece quiénes son los sujetos obligados y las obligaciones de éstos últimos; así como los medios de garantía para su ejercicio. Se prevén los límites al derecho de acceso a la información como los derechos de terceros, la privacidad, la protección de datos personales, la seguridad nacional y el interés público. Entre los mecanismos de garantía institucionales más sobresalientes se estipula la creación de 33 Organismos Garantes con autonomía constitucional que tienen por objeto vigilar y promover el correcto ejercicio de este derecho.</w:t>
      </w:r>
    </w:p>
    <w:p w14:paraId="5DA8D175" w14:textId="211DAEFC" w:rsidR="00E35B30" w:rsidRPr="00BA784D" w:rsidRDefault="0036612A">
      <w:pPr>
        <w:pBdr>
          <w:top w:val="nil"/>
          <w:left w:val="nil"/>
          <w:bottom w:val="nil"/>
          <w:right w:val="nil"/>
          <w:between w:val="nil"/>
        </w:pBd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El marco normativo que desarrolla al artículo 6° constitucional, tiene como punto de partida a la Ley General de Transparencia y Acceso a la Información Pública, la </w:t>
      </w:r>
      <w:r w:rsidR="00FF2B66" w:rsidRPr="00BA784D">
        <w:rPr>
          <w:rFonts w:ascii="Times New Roman" w:eastAsia="Times New Roman" w:hAnsi="Times New Roman" w:cs="Times New Roman"/>
          <w:sz w:val="24"/>
          <w:szCs w:val="24"/>
        </w:rPr>
        <w:t>L</w:t>
      </w:r>
      <w:r w:rsidRPr="00BA784D">
        <w:rPr>
          <w:rFonts w:ascii="Times New Roman" w:eastAsia="Times New Roman" w:hAnsi="Times New Roman" w:cs="Times New Roman"/>
          <w:sz w:val="24"/>
          <w:szCs w:val="24"/>
        </w:rPr>
        <w:t xml:space="preserve">ey </w:t>
      </w:r>
      <w:r w:rsidR="00FF2B66" w:rsidRPr="00BA784D">
        <w:rPr>
          <w:rFonts w:ascii="Times New Roman" w:eastAsia="Times New Roman" w:hAnsi="Times New Roman" w:cs="Times New Roman"/>
          <w:sz w:val="24"/>
          <w:szCs w:val="24"/>
        </w:rPr>
        <w:t>F</w:t>
      </w:r>
      <w:r w:rsidRPr="00BA784D">
        <w:rPr>
          <w:rFonts w:ascii="Times New Roman" w:eastAsia="Times New Roman" w:hAnsi="Times New Roman" w:cs="Times New Roman"/>
          <w:sz w:val="24"/>
          <w:szCs w:val="24"/>
        </w:rPr>
        <w:t xml:space="preserve">ederal y las </w:t>
      </w:r>
      <w:r w:rsidR="00FF2B66" w:rsidRPr="00BA784D">
        <w:rPr>
          <w:rFonts w:ascii="Times New Roman" w:eastAsia="Times New Roman" w:hAnsi="Times New Roman" w:cs="Times New Roman"/>
          <w:sz w:val="24"/>
          <w:szCs w:val="24"/>
        </w:rPr>
        <w:t>L</w:t>
      </w:r>
      <w:r w:rsidRPr="00BA784D">
        <w:rPr>
          <w:rFonts w:ascii="Times New Roman" w:eastAsia="Times New Roman" w:hAnsi="Times New Roman" w:cs="Times New Roman"/>
          <w:sz w:val="24"/>
          <w:szCs w:val="24"/>
        </w:rPr>
        <w:t xml:space="preserve">eyes </w:t>
      </w:r>
      <w:r w:rsidR="00FF2B66" w:rsidRPr="00BA784D">
        <w:rPr>
          <w:rFonts w:ascii="Times New Roman" w:eastAsia="Times New Roman" w:hAnsi="Times New Roman" w:cs="Times New Roman"/>
          <w:sz w:val="24"/>
          <w:szCs w:val="24"/>
        </w:rPr>
        <w:t>E</w:t>
      </w:r>
      <w:r w:rsidRPr="00BA784D">
        <w:rPr>
          <w:rFonts w:ascii="Times New Roman" w:eastAsia="Times New Roman" w:hAnsi="Times New Roman" w:cs="Times New Roman"/>
          <w:sz w:val="24"/>
          <w:szCs w:val="24"/>
        </w:rPr>
        <w:t>statales específicas en la materia. La Ley General desarrolla el piso mínimo de los derechos de las personas y las obligaciones de las personas del servicio público, así como las bases del Organismo Garante Nacional, los Organismos Garantes de las entidades federativas y los mecanismos de interacción con otras instituciones a través del SNT.</w:t>
      </w:r>
    </w:p>
    <w:p w14:paraId="30786380" w14:textId="77777777" w:rsidR="00E35B30" w:rsidRPr="00BA784D" w:rsidRDefault="0036612A">
      <w:pPr>
        <w:pBdr>
          <w:top w:val="nil"/>
          <w:left w:val="nil"/>
          <w:bottom w:val="nil"/>
          <w:right w:val="nil"/>
          <w:between w:val="nil"/>
        </w:pBd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Para los sujetos obligados de orden federal, resulta aplicable la Ley Federal de Transparencia y Acceso a la Información Pública. En este ordenamiento, además de encontrar detalles de aplicación de la Ley General, se desarrollan los mecanismos procedimentales para el ejercicio del derecho de acceso a la información, la rendición de cuentas. También se prevén mecanismos de apremio, un catálogo de conductas consideradas infracciones, las </w:t>
      </w:r>
      <w:r w:rsidRPr="00BA784D">
        <w:rPr>
          <w:rFonts w:ascii="Times New Roman" w:eastAsia="Times New Roman" w:hAnsi="Times New Roman" w:cs="Times New Roman"/>
          <w:sz w:val="24"/>
          <w:szCs w:val="24"/>
        </w:rPr>
        <w:lastRenderedPageBreak/>
        <w:t>responsabilidades administrativas, pecuniarias y las sanciones penales.</w:t>
      </w:r>
    </w:p>
    <w:p w14:paraId="158DF1DB" w14:textId="0ACEBD6F" w:rsidR="00E35B30" w:rsidRPr="00BA784D" w:rsidRDefault="0036612A">
      <w:pPr>
        <w:pBdr>
          <w:top w:val="nil"/>
          <w:left w:val="nil"/>
          <w:bottom w:val="nil"/>
          <w:right w:val="nil"/>
          <w:between w:val="nil"/>
        </w:pBd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Desde el ámbito de competencia de las entidades federativas tenemos 32 leyes. Cada Congreso ha cumplido con su responsabilidad de actualizar la legislación y también ha designado los recursos humanos, materiales y administrativos para el establecimiento de un organismo garante local. Esta normatividad resulta aplicable a los sujetos obligados pertenecientes a las autoridades de los </w:t>
      </w:r>
      <w:r w:rsidR="00FF2B66" w:rsidRPr="00BA784D">
        <w:rPr>
          <w:rFonts w:ascii="Times New Roman" w:eastAsia="Times New Roman" w:hAnsi="Times New Roman" w:cs="Times New Roman"/>
          <w:sz w:val="24"/>
          <w:szCs w:val="24"/>
        </w:rPr>
        <w:t>E</w:t>
      </w:r>
      <w:r w:rsidRPr="00BA784D">
        <w:rPr>
          <w:rFonts w:ascii="Times New Roman" w:eastAsia="Times New Roman" w:hAnsi="Times New Roman" w:cs="Times New Roman"/>
          <w:sz w:val="24"/>
          <w:szCs w:val="24"/>
        </w:rPr>
        <w:t>stados o de la Ciudad de México, así como de las autoridades municipales o de las demarcaciones territoriales, según corresponda.</w:t>
      </w:r>
    </w:p>
    <w:p w14:paraId="0184158F" w14:textId="0BBB99B4" w:rsidR="00E35B30" w:rsidRPr="00BA784D" w:rsidRDefault="0036612A">
      <w:pPr>
        <w:pBdr>
          <w:top w:val="nil"/>
          <w:left w:val="nil"/>
          <w:bottom w:val="nil"/>
          <w:right w:val="nil"/>
          <w:between w:val="nil"/>
        </w:pBd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Desde el punto de vista organizacional y de gobernanza, el legislador federal consideró una estructura de coordinación compleja en la que convergen representantes de múltiples espacios geográficos y de diversas especialidades. El Sistema Nacional de Transparencia, Acceso a la Información y Protección de Datos Personales es el mecanismo de gobernanza de mayor representación y alcance en las materias de Transparencia y Acceso a la Información, integrado por los 33 Organismos Garantes, el Archivo General de la Nación, el Instituto Nacional de Estadística</w:t>
      </w:r>
      <w:r w:rsidR="00327FF7" w:rsidRPr="00BA784D">
        <w:rPr>
          <w:rFonts w:ascii="Times New Roman" w:eastAsia="Times New Roman" w:hAnsi="Times New Roman" w:cs="Times New Roman"/>
          <w:sz w:val="24"/>
          <w:szCs w:val="24"/>
        </w:rPr>
        <w:t xml:space="preserve"> y</w:t>
      </w:r>
      <w:r w:rsidRPr="00BA784D">
        <w:rPr>
          <w:rFonts w:ascii="Times New Roman" w:eastAsia="Times New Roman" w:hAnsi="Times New Roman" w:cs="Times New Roman"/>
          <w:sz w:val="24"/>
          <w:szCs w:val="24"/>
        </w:rPr>
        <w:t xml:space="preserve"> Geografía y la Auditoría Superior de la Federación. Asimismo, el Sistema se engarza en sus funciones y acciones con los Sistemas Nacionales de Archivo y Anticorrupción, contando con marcos jurídicos federales y estatales en las materias de protección de datos personales, archivos y anticorrupción, así como la participación en el Sistema Nacional de Mejora Regulatoria con la ley general en la materia.</w:t>
      </w:r>
    </w:p>
    <w:p w14:paraId="433BCEDD" w14:textId="77777777" w:rsidR="00E35B30" w:rsidRPr="00BA784D" w:rsidRDefault="0036612A">
      <w:pPr>
        <w:pBdr>
          <w:top w:val="nil"/>
          <w:left w:val="nil"/>
          <w:bottom w:val="nil"/>
          <w:right w:val="nil"/>
          <w:between w:val="nil"/>
        </w:pBdr>
        <w:spacing w:before="200" w:line="360" w:lineRule="auto"/>
        <w:jc w:val="both"/>
        <w:rPr>
          <w:rFonts w:ascii="Times New Roman" w:eastAsia="Times New Roman" w:hAnsi="Times New Roman" w:cs="Times New Roman"/>
          <w:sz w:val="24"/>
          <w:szCs w:val="24"/>
        </w:rPr>
      </w:pPr>
      <w:bookmarkStart w:id="7" w:name="_heading=h.877hzbnzisqa" w:colFirst="0" w:colLast="0"/>
      <w:bookmarkEnd w:id="7"/>
      <w:r w:rsidRPr="00BA784D">
        <w:rPr>
          <w:rFonts w:ascii="Times New Roman" w:eastAsia="Times New Roman" w:hAnsi="Times New Roman" w:cs="Times New Roman"/>
          <w:sz w:val="24"/>
          <w:szCs w:val="24"/>
        </w:rPr>
        <w:t>Dentro del modelo del SNT, se constituyen facultades de reglamentación para la emisión de lineamientos, acuerdos, guías, política pública y otros documentos normativos por parte de su Consejo Nacional. A continuación, se muestra la tabla con el Marco Normativo básico en la materia.</w:t>
      </w:r>
    </w:p>
    <w:p w14:paraId="687BCBCD" w14:textId="65794482" w:rsidR="00E35B30" w:rsidRPr="00BA784D" w:rsidRDefault="00E35B30">
      <w:pPr>
        <w:pBdr>
          <w:top w:val="nil"/>
          <w:left w:val="nil"/>
          <w:bottom w:val="nil"/>
          <w:right w:val="nil"/>
          <w:between w:val="nil"/>
        </w:pBdr>
        <w:spacing w:before="200" w:line="360" w:lineRule="auto"/>
        <w:jc w:val="both"/>
        <w:rPr>
          <w:rFonts w:ascii="Times New Roman" w:eastAsia="Times New Roman" w:hAnsi="Times New Roman" w:cs="Times New Roman"/>
          <w:sz w:val="24"/>
          <w:szCs w:val="24"/>
        </w:rPr>
      </w:pPr>
    </w:p>
    <w:p w14:paraId="78460E9B" w14:textId="35B870E0" w:rsidR="00FD69BE" w:rsidRPr="00BA784D" w:rsidRDefault="00FD69BE">
      <w:pPr>
        <w:pBdr>
          <w:top w:val="nil"/>
          <w:left w:val="nil"/>
          <w:bottom w:val="nil"/>
          <w:right w:val="nil"/>
          <w:between w:val="nil"/>
        </w:pBdr>
        <w:spacing w:before="200" w:line="360" w:lineRule="auto"/>
        <w:jc w:val="both"/>
        <w:rPr>
          <w:rFonts w:ascii="Times New Roman" w:eastAsia="Times New Roman" w:hAnsi="Times New Roman" w:cs="Times New Roman"/>
          <w:sz w:val="24"/>
          <w:szCs w:val="24"/>
        </w:rPr>
      </w:pPr>
    </w:p>
    <w:p w14:paraId="7FCF08C8" w14:textId="3F2B12BD" w:rsidR="00FD69BE" w:rsidRPr="00BA784D" w:rsidRDefault="00FD69BE">
      <w:pPr>
        <w:pBdr>
          <w:top w:val="nil"/>
          <w:left w:val="nil"/>
          <w:bottom w:val="nil"/>
          <w:right w:val="nil"/>
          <w:between w:val="nil"/>
        </w:pBdr>
        <w:spacing w:before="200" w:line="360" w:lineRule="auto"/>
        <w:jc w:val="both"/>
        <w:rPr>
          <w:rFonts w:ascii="Times New Roman" w:eastAsia="Times New Roman" w:hAnsi="Times New Roman" w:cs="Times New Roman"/>
          <w:sz w:val="24"/>
          <w:szCs w:val="24"/>
        </w:rPr>
      </w:pPr>
    </w:p>
    <w:p w14:paraId="727ABBAB" w14:textId="77777777" w:rsidR="00FD69BE" w:rsidRPr="00BA784D" w:rsidRDefault="00FD69BE">
      <w:pPr>
        <w:pBdr>
          <w:top w:val="nil"/>
          <w:left w:val="nil"/>
          <w:bottom w:val="nil"/>
          <w:right w:val="nil"/>
          <w:between w:val="nil"/>
        </w:pBdr>
        <w:spacing w:before="200" w:line="360" w:lineRule="auto"/>
        <w:jc w:val="both"/>
        <w:rPr>
          <w:rFonts w:ascii="Times New Roman" w:eastAsia="Times New Roman" w:hAnsi="Times New Roman" w:cs="Times New Roman"/>
          <w:sz w:val="24"/>
          <w:szCs w:val="24"/>
        </w:rPr>
      </w:pPr>
    </w:p>
    <w:p w14:paraId="704662C4" w14:textId="77777777" w:rsidR="00E35B30" w:rsidRPr="00BA784D" w:rsidRDefault="00E35B30">
      <w:pPr>
        <w:pBdr>
          <w:top w:val="nil"/>
          <w:left w:val="nil"/>
          <w:bottom w:val="nil"/>
          <w:right w:val="nil"/>
          <w:between w:val="nil"/>
        </w:pBdr>
        <w:spacing w:before="200" w:line="360" w:lineRule="auto"/>
        <w:jc w:val="both"/>
        <w:rPr>
          <w:rFonts w:ascii="Times New Roman" w:eastAsia="Times New Roman" w:hAnsi="Times New Roman" w:cs="Times New Roman"/>
          <w:sz w:val="24"/>
          <w:szCs w:val="24"/>
        </w:rPr>
      </w:pPr>
    </w:p>
    <w:p w14:paraId="5747FD9A" w14:textId="77777777" w:rsidR="00E35B30" w:rsidRPr="00BA784D" w:rsidRDefault="0036612A">
      <w:pPr>
        <w:pBdr>
          <w:top w:val="nil"/>
          <w:left w:val="nil"/>
          <w:bottom w:val="nil"/>
          <w:right w:val="nil"/>
          <w:between w:val="nil"/>
        </w:pBdr>
        <w:spacing w:before="44" w:after="240" w:line="360" w:lineRule="auto"/>
        <w:ind w:left="100"/>
        <w:jc w:val="both"/>
        <w:rPr>
          <w:rFonts w:ascii="Times New Roman" w:eastAsia="Times New Roman" w:hAnsi="Times New Roman" w:cs="Times New Roman"/>
          <w:b/>
          <w:sz w:val="24"/>
          <w:szCs w:val="24"/>
        </w:rPr>
      </w:pPr>
      <w:bookmarkStart w:id="8" w:name="_heading=h.btfsc5sx2mhp" w:colFirst="0" w:colLast="0"/>
      <w:bookmarkEnd w:id="8"/>
      <w:r w:rsidRPr="00BA784D">
        <w:rPr>
          <w:rFonts w:ascii="Times New Roman" w:eastAsia="Times New Roman" w:hAnsi="Times New Roman" w:cs="Times New Roman"/>
          <w:b/>
          <w:sz w:val="24"/>
          <w:szCs w:val="24"/>
        </w:rPr>
        <w:lastRenderedPageBreak/>
        <w:t xml:space="preserve">Marco normativo básico </w:t>
      </w:r>
    </w:p>
    <w:tbl>
      <w:tblPr>
        <w:tblStyle w:val="16"/>
        <w:tblW w:w="881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51"/>
        <w:gridCol w:w="603"/>
        <w:gridCol w:w="1437"/>
        <w:gridCol w:w="5227"/>
      </w:tblGrid>
      <w:tr w:rsidR="00E35B30" w:rsidRPr="00BA784D" w14:paraId="3C7B3147" w14:textId="77777777">
        <w:trPr>
          <w:trHeight w:val="339"/>
        </w:trPr>
        <w:tc>
          <w:tcPr>
            <w:tcW w:w="8818" w:type="dxa"/>
            <w:gridSpan w:val="4"/>
            <w:tcBorders>
              <w:top w:val="single" w:sz="8" w:space="0" w:color="000000"/>
              <w:left w:val="single" w:sz="8" w:space="0" w:color="000000"/>
              <w:bottom w:val="single" w:sz="8" w:space="0" w:color="000000"/>
              <w:right w:val="single" w:sz="8" w:space="0" w:color="000000"/>
            </w:tcBorders>
            <w:shd w:val="clear" w:color="auto" w:fill="1F4E79"/>
            <w:tcMar>
              <w:top w:w="100" w:type="dxa"/>
              <w:left w:w="100" w:type="dxa"/>
              <w:bottom w:w="100" w:type="dxa"/>
              <w:right w:w="100" w:type="dxa"/>
            </w:tcMar>
          </w:tcPr>
          <w:p w14:paraId="7FD8D548" w14:textId="77777777" w:rsidR="00E35B30" w:rsidRPr="00BA784D" w:rsidRDefault="0036612A">
            <w:pPr>
              <w:spacing w:line="360" w:lineRule="auto"/>
              <w:jc w:val="center"/>
              <w:rPr>
                <w:rFonts w:ascii="Times New Roman" w:eastAsia="Times New Roman" w:hAnsi="Times New Roman" w:cs="Times New Roman"/>
                <w:b/>
                <w:sz w:val="24"/>
                <w:szCs w:val="24"/>
              </w:rPr>
            </w:pPr>
            <w:r w:rsidRPr="00BA784D">
              <w:rPr>
                <w:rFonts w:ascii="Times New Roman" w:eastAsia="Times New Roman" w:hAnsi="Times New Roman" w:cs="Times New Roman"/>
                <w:b/>
                <w:color w:val="FFFFFF"/>
                <w:sz w:val="24"/>
                <w:szCs w:val="24"/>
              </w:rPr>
              <w:t>Derecho de acceso a la información</w:t>
            </w:r>
          </w:p>
        </w:tc>
      </w:tr>
      <w:tr w:rsidR="00E35B30" w:rsidRPr="00BA784D" w14:paraId="785B4022" w14:textId="77777777">
        <w:trPr>
          <w:trHeight w:val="1515"/>
        </w:trPr>
        <w:tc>
          <w:tcPr>
            <w:tcW w:w="155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A06C09" w14:textId="77777777" w:rsidR="00FD69BE" w:rsidRPr="00BA784D" w:rsidRDefault="00FD69BE">
            <w:pPr>
              <w:spacing w:line="360" w:lineRule="auto"/>
              <w:jc w:val="both"/>
              <w:rPr>
                <w:rFonts w:ascii="Times New Roman" w:eastAsia="Times New Roman" w:hAnsi="Times New Roman" w:cs="Times New Roman"/>
                <w:sz w:val="24"/>
                <w:szCs w:val="24"/>
              </w:rPr>
            </w:pPr>
          </w:p>
          <w:p w14:paraId="5D1E5006" w14:textId="1994A591"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Leyes</w:t>
            </w:r>
          </w:p>
        </w:tc>
        <w:tc>
          <w:tcPr>
            <w:tcW w:w="7267"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6EF0F136" w14:textId="77777777" w:rsidR="00E35B30" w:rsidRPr="00BA784D" w:rsidRDefault="0036612A">
            <w:pPr>
              <w:numPr>
                <w:ilvl w:val="0"/>
                <w:numId w:val="16"/>
              </w:numP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Artículo 6, apartado A, Constitución Política de los Estados Unidos Mexicanos.</w:t>
            </w:r>
          </w:p>
          <w:p w14:paraId="2C628833" w14:textId="77777777" w:rsidR="00E35B30" w:rsidRPr="00BA784D" w:rsidRDefault="0036612A">
            <w:pPr>
              <w:numPr>
                <w:ilvl w:val="0"/>
                <w:numId w:val="16"/>
              </w:numP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Ley General de Transparencia y Acceso a la Información Pública.</w:t>
            </w:r>
          </w:p>
          <w:p w14:paraId="5B0FCF70" w14:textId="77777777" w:rsidR="00E35B30" w:rsidRPr="00BA784D" w:rsidRDefault="0036612A">
            <w:pPr>
              <w:numPr>
                <w:ilvl w:val="0"/>
                <w:numId w:val="16"/>
              </w:numP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Ley Federal de Transparencia y Acceso a la Información Pública.</w:t>
            </w:r>
          </w:p>
          <w:p w14:paraId="0895DD66" w14:textId="77777777" w:rsidR="00E35B30" w:rsidRPr="00BA784D" w:rsidRDefault="0036612A">
            <w:pPr>
              <w:numPr>
                <w:ilvl w:val="0"/>
                <w:numId w:val="16"/>
              </w:numP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32 leyes de transparencia y acceso a la información pública de las entidades federativas.</w:t>
            </w:r>
          </w:p>
        </w:tc>
      </w:tr>
      <w:tr w:rsidR="00E35B30" w:rsidRPr="00BA784D" w14:paraId="6656679D" w14:textId="77777777">
        <w:trPr>
          <w:trHeight w:val="695"/>
        </w:trPr>
        <w:tc>
          <w:tcPr>
            <w:tcW w:w="155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B84D63"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Lineamientos</w:t>
            </w:r>
          </w:p>
        </w:tc>
        <w:tc>
          <w:tcPr>
            <w:tcW w:w="7267"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3C7DC4AD" w14:textId="77777777" w:rsidR="00E35B30" w:rsidRPr="00BA784D" w:rsidRDefault="0036612A">
            <w:pPr>
              <w:numPr>
                <w:ilvl w:val="0"/>
                <w:numId w:val="1"/>
              </w:numPr>
              <w:pBdr>
                <w:top w:val="nil"/>
                <w:left w:val="nil"/>
                <w:bottom w:val="nil"/>
                <w:right w:val="nil"/>
                <w:between w:val="nil"/>
              </w:pBd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Lineamientos para la organización, coordinación y funcionamiento de las instancias de los integrantes del Sistema Nacional de Transparencia, Acceso a la Información Pública y Protección de Datos Personales.</w:t>
            </w:r>
          </w:p>
          <w:p w14:paraId="3FEF0866" w14:textId="77777777" w:rsidR="00E35B30" w:rsidRPr="00BA784D" w:rsidRDefault="0036612A">
            <w:pPr>
              <w:numPr>
                <w:ilvl w:val="0"/>
                <w:numId w:val="1"/>
              </w:numPr>
              <w:pBdr>
                <w:top w:val="nil"/>
                <w:left w:val="nil"/>
                <w:bottom w:val="nil"/>
                <w:right w:val="nil"/>
                <w:between w:val="nil"/>
              </w:pBd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Lineamientos para la elaboración, ejecución y evaluación del Programa Nacional de Transparencia y Acceso a la Información.</w:t>
            </w:r>
          </w:p>
          <w:p w14:paraId="50220BF1" w14:textId="77777777" w:rsidR="00E35B30" w:rsidRPr="00BA784D" w:rsidRDefault="0036612A">
            <w:pPr>
              <w:numPr>
                <w:ilvl w:val="0"/>
                <w:numId w:val="1"/>
              </w:numPr>
              <w:pBdr>
                <w:top w:val="nil"/>
                <w:left w:val="nil"/>
                <w:bottom w:val="nil"/>
                <w:right w:val="nil"/>
                <w:between w:val="nil"/>
              </w:pBd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Lineamientos para determinar los catálogos y publicación de información de interés público; y para la emisión y evaluación de políticas de transparencia proactiva.</w:t>
            </w:r>
          </w:p>
          <w:p w14:paraId="4531030D" w14:textId="77777777" w:rsidR="00E35B30" w:rsidRPr="00BA784D" w:rsidRDefault="0036612A">
            <w:pPr>
              <w:numPr>
                <w:ilvl w:val="0"/>
                <w:numId w:val="1"/>
              </w:numPr>
              <w:pBdr>
                <w:top w:val="nil"/>
                <w:left w:val="nil"/>
                <w:bottom w:val="nil"/>
                <w:right w:val="nil"/>
                <w:between w:val="nil"/>
              </w:pBd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Lineamientos generales en materia de clasificación y desclasificación de la información, así como para la elaboración de versiones públicas.</w:t>
            </w:r>
          </w:p>
          <w:p w14:paraId="044EF626" w14:textId="77777777" w:rsidR="00E35B30" w:rsidRPr="00BA784D" w:rsidRDefault="0036612A">
            <w:pPr>
              <w:numPr>
                <w:ilvl w:val="0"/>
                <w:numId w:val="1"/>
              </w:numPr>
              <w:pBdr>
                <w:top w:val="nil"/>
                <w:left w:val="nil"/>
                <w:bottom w:val="nil"/>
                <w:right w:val="nil"/>
                <w:between w:val="nil"/>
              </w:pBd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Lineamientos para la organización y conservación de los archivos.</w:t>
            </w:r>
          </w:p>
          <w:p w14:paraId="6445BCE9" w14:textId="77777777" w:rsidR="00E35B30" w:rsidRPr="00BA784D" w:rsidRDefault="0036612A">
            <w:pPr>
              <w:numPr>
                <w:ilvl w:val="0"/>
                <w:numId w:val="1"/>
              </w:numPr>
              <w:pBdr>
                <w:top w:val="nil"/>
                <w:left w:val="nil"/>
                <w:bottom w:val="nil"/>
                <w:right w:val="nil"/>
                <w:between w:val="nil"/>
              </w:pBd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Lineamientos de la Funcionalidad, Operación y Mejoras de la Plataforma Nacional de Transparencia.</w:t>
            </w:r>
          </w:p>
          <w:p w14:paraId="626D1DD2" w14:textId="77777777" w:rsidR="00E35B30" w:rsidRPr="00BA784D" w:rsidRDefault="0036612A">
            <w:pPr>
              <w:numPr>
                <w:ilvl w:val="0"/>
                <w:numId w:val="1"/>
              </w:numP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Lineamientos que deberán observar los sujetos obligados para la atención de requerimientos, observaciones, recomendaciones y criterios que emita el Sistema Nacional de Transparencia, Acceso a la Información Pública y Protección de Datos Personales.</w:t>
            </w:r>
          </w:p>
          <w:p w14:paraId="0F1DDFB4" w14:textId="77777777" w:rsidR="00E35B30" w:rsidRPr="00BA784D" w:rsidRDefault="0036612A">
            <w:pPr>
              <w:numPr>
                <w:ilvl w:val="0"/>
                <w:numId w:val="1"/>
              </w:numP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Lineamientos técnicos generales para la publicación, homologación y estandarización de la información de las obligaciones establecidas en el título quinto y en la fracción IV del artículo 31 de la Ley General </w:t>
            </w:r>
            <w:r w:rsidRPr="00BA784D">
              <w:rPr>
                <w:rFonts w:ascii="Times New Roman" w:eastAsia="Times New Roman" w:hAnsi="Times New Roman" w:cs="Times New Roman"/>
                <w:sz w:val="24"/>
                <w:szCs w:val="24"/>
              </w:rPr>
              <w:lastRenderedPageBreak/>
              <w:t>de Transparencia y Acceso a la Información Pública, que deben de difundir los sujetos obligados en los portales de Internet y en la Plataforma Nacional de Transparencia.</w:t>
            </w:r>
          </w:p>
          <w:p w14:paraId="081BAAC6" w14:textId="77777777" w:rsidR="00E35B30" w:rsidRPr="00BA784D" w:rsidRDefault="0036612A">
            <w:pPr>
              <w:numPr>
                <w:ilvl w:val="0"/>
                <w:numId w:val="1"/>
              </w:numPr>
              <w:pBdr>
                <w:top w:val="nil"/>
                <w:left w:val="nil"/>
                <w:bottom w:val="nil"/>
                <w:right w:val="nil"/>
                <w:between w:val="nil"/>
              </w:pBd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Criterios para que los sujetos obligados garanticen condiciones de accesibilidad que permitan el ejercicio de los derechos humanos de acceso a la información y protección de datos personales a grupos vulnerables.</w:t>
            </w:r>
          </w:p>
          <w:p w14:paraId="2873321E" w14:textId="77777777" w:rsidR="00E35B30" w:rsidRPr="00BA784D" w:rsidRDefault="0036612A">
            <w:pPr>
              <w:numPr>
                <w:ilvl w:val="0"/>
                <w:numId w:val="1"/>
              </w:numPr>
              <w:pBdr>
                <w:top w:val="nil"/>
                <w:left w:val="nil"/>
                <w:bottom w:val="nil"/>
                <w:right w:val="nil"/>
                <w:between w:val="nil"/>
              </w:pBd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Lineamientos para la emisión de criterios de interpretación de resoluciones emitidas por los Organismos Garantes integrantes del SNT.</w:t>
            </w:r>
          </w:p>
        </w:tc>
      </w:tr>
      <w:tr w:rsidR="00E35B30" w:rsidRPr="00BA784D" w14:paraId="0A3E8A6D" w14:textId="77777777">
        <w:trPr>
          <w:trHeight w:val="2985"/>
        </w:trPr>
        <w:tc>
          <w:tcPr>
            <w:tcW w:w="155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D1CD27"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Acuerdos</w:t>
            </w:r>
          </w:p>
        </w:tc>
        <w:tc>
          <w:tcPr>
            <w:tcW w:w="7267"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5AB7FFD9" w14:textId="77777777" w:rsidR="00E35B30" w:rsidRPr="00BA784D" w:rsidRDefault="0036612A">
            <w:pPr>
              <w:numPr>
                <w:ilvl w:val="0"/>
                <w:numId w:val="6"/>
              </w:numP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Acuerdo mediante el cual el Pleno del Instituto Nacional de Transparencia, Acceso a la Información y Protección de Datos Personales, establece las bases de interpretación y aplicación de la Ley General de Transparencia y Acceso a la Información Pública.</w:t>
            </w:r>
          </w:p>
          <w:p w14:paraId="5FDF07E3" w14:textId="77777777" w:rsidR="00E35B30" w:rsidRPr="00BA784D" w:rsidRDefault="0036612A">
            <w:pPr>
              <w:numPr>
                <w:ilvl w:val="0"/>
                <w:numId w:val="6"/>
              </w:numP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Acuerdo mediante el cual se realizan modificaciones a los formatos establecidos en los anexos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tc>
      </w:tr>
      <w:tr w:rsidR="00E35B30" w:rsidRPr="00BA784D" w14:paraId="70B6B3BE" w14:textId="77777777">
        <w:trPr>
          <w:trHeight w:val="750"/>
        </w:trPr>
        <w:tc>
          <w:tcPr>
            <w:tcW w:w="155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512DD9"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Reglamentos</w:t>
            </w:r>
          </w:p>
        </w:tc>
        <w:tc>
          <w:tcPr>
            <w:tcW w:w="7267"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7158A4C9" w14:textId="77777777" w:rsidR="00E35B30" w:rsidRPr="00BA784D" w:rsidRDefault="0036612A">
            <w:pPr>
              <w:numPr>
                <w:ilvl w:val="0"/>
                <w:numId w:val="4"/>
              </w:numP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Reglamento del Consejo Nacional del Sistema Nacional de Transparencia, Acceso a la Información Pública y Protección de Datos Personales.</w:t>
            </w:r>
          </w:p>
        </w:tc>
      </w:tr>
      <w:tr w:rsidR="00E35B30" w:rsidRPr="00BA784D" w14:paraId="1011FEAF" w14:textId="77777777">
        <w:trPr>
          <w:trHeight w:val="262"/>
        </w:trPr>
        <w:tc>
          <w:tcPr>
            <w:tcW w:w="8818" w:type="dxa"/>
            <w:gridSpan w:val="4"/>
            <w:tcBorders>
              <w:left w:val="single" w:sz="8" w:space="0" w:color="000000"/>
              <w:bottom w:val="single" w:sz="8" w:space="0" w:color="000000"/>
              <w:right w:val="single" w:sz="8" w:space="0" w:color="000000"/>
            </w:tcBorders>
            <w:shd w:val="clear" w:color="auto" w:fill="1F4E79"/>
            <w:tcMar>
              <w:top w:w="100" w:type="dxa"/>
              <w:left w:w="100" w:type="dxa"/>
              <w:bottom w:w="100" w:type="dxa"/>
              <w:right w:w="100" w:type="dxa"/>
            </w:tcMar>
          </w:tcPr>
          <w:p w14:paraId="2C1A82A0" w14:textId="77777777" w:rsidR="00E35B30" w:rsidRPr="00BA784D" w:rsidRDefault="0036612A">
            <w:pPr>
              <w:spacing w:line="360" w:lineRule="auto"/>
              <w:jc w:val="center"/>
              <w:rPr>
                <w:rFonts w:ascii="Times New Roman" w:eastAsia="Times New Roman" w:hAnsi="Times New Roman" w:cs="Times New Roman"/>
                <w:b/>
                <w:sz w:val="24"/>
                <w:szCs w:val="24"/>
              </w:rPr>
            </w:pPr>
            <w:r w:rsidRPr="00BA784D">
              <w:rPr>
                <w:rFonts w:ascii="Times New Roman" w:eastAsia="Times New Roman" w:hAnsi="Times New Roman" w:cs="Times New Roman"/>
                <w:b/>
                <w:color w:val="FFFFFF"/>
                <w:sz w:val="24"/>
                <w:szCs w:val="24"/>
              </w:rPr>
              <w:t>Protección de datos personales</w:t>
            </w:r>
          </w:p>
        </w:tc>
      </w:tr>
      <w:tr w:rsidR="00E35B30" w:rsidRPr="00BA784D" w14:paraId="03B8F5C3" w14:textId="77777777">
        <w:trPr>
          <w:trHeight w:val="1365"/>
        </w:trPr>
        <w:tc>
          <w:tcPr>
            <w:tcW w:w="155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6428CA"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Leyes</w:t>
            </w:r>
          </w:p>
        </w:tc>
        <w:tc>
          <w:tcPr>
            <w:tcW w:w="7267"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267D7D1D" w14:textId="77777777" w:rsidR="00E35B30" w:rsidRPr="00BA784D" w:rsidRDefault="0036612A">
            <w:pPr>
              <w:numPr>
                <w:ilvl w:val="0"/>
                <w:numId w:val="9"/>
              </w:numP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Ley Federal de Protección de Datos Personales en Posesión de Particulares.</w:t>
            </w:r>
          </w:p>
          <w:p w14:paraId="37359010" w14:textId="77777777" w:rsidR="00E35B30" w:rsidRPr="00BA784D" w:rsidRDefault="0036612A">
            <w:pPr>
              <w:numPr>
                <w:ilvl w:val="0"/>
                <w:numId w:val="9"/>
              </w:numP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Ley General de Protección de Datos Personales en Posesión de Sujetos Obligados.</w:t>
            </w:r>
          </w:p>
          <w:p w14:paraId="1CE47714" w14:textId="77777777" w:rsidR="00E35B30" w:rsidRPr="00BA784D" w:rsidRDefault="0036612A">
            <w:pPr>
              <w:numPr>
                <w:ilvl w:val="0"/>
                <w:numId w:val="9"/>
              </w:numP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32 leyes estatales de protección de datos personales.</w:t>
            </w:r>
          </w:p>
        </w:tc>
      </w:tr>
      <w:tr w:rsidR="00E35B30" w:rsidRPr="00BA784D" w14:paraId="77BCBF5A" w14:textId="77777777">
        <w:trPr>
          <w:trHeight w:val="301"/>
        </w:trPr>
        <w:tc>
          <w:tcPr>
            <w:tcW w:w="8818" w:type="dxa"/>
            <w:gridSpan w:val="4"/>
            <w:tcBorders>
              <w:left w:val="single" w:sz="8" w:space="0" w:color="000000"/>
              <w:bottom w:val="single" w:sz="8" w:space="0" w:color="000000"/>
              <w:right w:val="single" w:sz="8" w:space="0" w:color="000000"/>
            </w:tcBorders>
            <w:shd w:val="clear" w:color="auto" w:fill="1F4E79"/>
            <w:tcMar>
              <w:top w:w="100" w:type="dxa"/>
              <w:left w:w="100" w:type="dxa"/>
              <w:bottom w:w="100" w:type="dxa"/>
              <w:right w:w="100" w:type="dxa"/>
            </w:tcMar>
          </w:tcPr>
          <w:p w14:paraId="69B8F5DB" w14:textId="77777777" w:rsidR="00E35B30" w:rsidRPr="00BA784D" w:rsidRDefault="0036612A">
            <w:pPr>
              <w:spacing w:line="360" w:lineRule="auto"/>
              <w:jc w:val="center"/>
              <w:rPr>
                <w:rFonts w:ascii="Times New Roman" w:eastAsia="Times New Roman" w:hAnsi="Times New Roman" w:cs="Times New Roman"/>
                <w:b/>
                <w:sz w:val="24"/>
                <w:szCs w:val="24"/>
              </w:rPr>
            </w:pPr>
            <w:r w:rsidRPr="00BA784D">
              <w:rPr>
                <w:rFonts w:ascii="Times New Roman" w:eastAsia="Times New Roman" w:hAnsi="Times New Roman" w:cs="Times New Roman"/>
                <w:b/>
                <w:color w:val="FFFFFF"/>
                <w:sz w:val="24"/>
                <w:szCs w:val="24"/>
              </w:rPr>
              <w:t>Combate a la Corrupción</w:t>
            </w:r>
          </w:p>
        </w:tc>
      </w:tr>
      <w:tr w:rsidR="00E35B30" w:rsidRPr="00BA784D" w14:paraId="6581F439" w14:textId="77777777">
        <w:trPr>
          <w:trHeight w:val="1316"/>
        </w:trPr>
        <w:tc>
          <w:tcPr>
            <w:tcW w:w="155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05D602"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Leyes</w:t>
            </w:r>
          </w:p>
        </w:tc>
        <w:tc>
          <w:tcPr>
            <w:tcW w:w="7267"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3DEFDD5F" w14:textId="77777777" w:rsidR="00E35B30" w:rsidRPr="00BA784D" w:rsidRDefault="0036612A">
            <w:pPr>
              <w:numPr>
                <w:ilvl w:val="0"/>
                <w:numId w:val="7"/>
              </w:numP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Ley General del Sistema Nacional Anticorrupción.</w:t>
            </w:r>
          </w:p>
          <w:p w14:paraId="360C6CC4" w14:textId="77777777" w:rsidR="00E35B30" w:rsidRPr="00BA784D" w:rsidRDefault="0036612A">
            <w:pPr>
              <w:numPr>
                <w:ilvl w:val="0"/>
                <w:numId w:val="7"/>
              </w:numP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Ley General de Responsabilidades Administrativas.</w:t>
            </w:r>
          </w:p>
          <w:p w14:paraId="15B55A39" w14:textId="77777777" w:rsidR="00E35B30" w:rsidRPr="00BA784D" w:rsidRDefault="0036612A">
            <w:pPr>
              <w:numPr>
                <w:ilvl w:val="0"/>
                <w:numId w:val="7"/>
              </w:numP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Ley General de Contabilidad Gubernamental.</w:t>
            </w:r>
          </w:p>
          <w:p w14:paraId="6952E6F7" w14:textId="77777777" w:rsidR="00E35B30" w:rsidRPr="00BA784D" w:rsidRDefault="0036612A">
            <w:pPr>
              <w:numPr>
                <w:ilvl w:val="0"/>
                <w:numId w:val="7"/>
              </w:numP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32 leyes estatales de los sistemas estatales de anticorrupción.</w:t>
            </w:r>
          </w:p>
          <w:p w14:paraId="2C737CA8" w14:textId="77777777" w:rsidR="00E35B30" w:rsidRPr="00BA784D" w:rsidRDefault="0036612A">
            <w:pPr>
              <w:numPr>
                <w:ilvl w:val="0"/>
                <w:numId w:val="7"/>
              </w:numP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32 leyes estatales de responsabilidades administrativas.</w:t>
            </w:r>
          </w:p>
        </w:tc>
      </w:tr>
      <w:tr w:rsidR="00E35B30" w:rsidRPr="00BA784D" w14:paraId="51C5D3AF" w14:textId="77777777">
        <w:trPr>
          <w:trHeight w:val="204"/>
        </w:trPr>
        <w:tc>
          <w:tcPr>
            <w:tcW w:w="8818" w:type="dxa"/>
            <w:gridSpan w:val="4"/>
            <w:tcBorders>
              <w:left w:val="single" w:sz="8" w:space="0" w:color="000000"/>
              <w:bottom w:val="single" w:sz="8" w:space="0" w:color="000000"/>
              <w:right w:val="single" w:sz="8" w:space="0" w:color="000000"/>
            </w:tcBorders>
            <w:shd w:val="clear" w:color="auto" w:fill="1F4E79"/>
            <w:tcMar>
              <w:top w:w="100" w:type="dxa"/>
              <w:left w:w="100" w:type="dxa"/>
              <w:bottom w:w="100" w:type="dxa"/>
              <w:right w:w="100" w:type="dxa"/>
            </w:tcMar>
          </w:tcPr>
          <w:p w14:paraId="45831B94" w14:textId="77777777" w:rsidR="00E35B30" w:rsidRPr="00BA784D" w:rsidRDefault="0036612A">
            <w:pPr>
              <w:spacing w:line="360" w:lineRule="auto"/>
              <w:jc w:val="center"/>
              <w:rPr>
                <w:rFonts w:ascii="Times New Roman" w:eastAsia="Times New Roman" w:hAnsi="Times New Roman" w:cs="Times New Roman"/>
                <w:b/>
                <w:color w:val="FFFFFF"/>
                <w:sz w:val="24"/>
                <w:szCs w:val="24"/>
              </w:rPr>
            </w:pPr>
            <w:r w:rsidRPr="00BA784D">
              <w:rPr>
                <w:rFonts w:ascii="Times New Roman" w:eastAsia="Times New Roman" w:hAnsi="Times New Roman" w:cs="Times New Roman"/>
                <w:b/>
                <w:color w:val="FFFFFF"/>
                <w:sz w:val="24"/>
                <w:szCs w:val="24"/>
              </w:rPr>
              <w:t>Rendición de cuentas</w:t>
            </w:r>
          </w:p>
        </w:tc>
      </w:tr>
      <w:tr w:rsidR="00E35B30" w:rsidRPr="00BA784D" w14:paraId="0BE62506" w14:textId="77777777">
        <w:trPr>
          <w:trHeight w:val="978"/>
        </w:trPr>
        <w:tc>
          <w:tcPr>
            <w:tcW w:w="155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56AF07"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Leyes</w:t>
            </w:r>
          </w:p>
        </w:tc>
        <w:tc>
          <w:tcPr>
            <w:tcW w:w="7267"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718559D6" w14:textId="77777777" w:rsidR="00E35B30" w:rsidRPr="00BA784D" w:rsidRDefault="0036612A">
            <w:pPr>
              <w:numPr>
                <w:ilvl w:val="0"/>
                <w:numId w:val="10"/>
              </w:numP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Ley de Fiscalización y Rendición de Cuentas de la Federación.</w:t>
            </w:r>
          </w:p>
          <w:p w14:paraId="23D44CB9" w14:textId="77777777" w:rsidR="00E35B30" w:rsidRPr="00BA784D" w:rsidRDefault="0036612A">
            <w:pPr>
              <w:numPr>
                <w:ilvl w:val="0"/>
                <w:numId w:val="10"/>
              </w:numP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Ley General de Contabilidad Gubernamental.</w:t>
            </w:r>
          </w:p>
          <w:p w14:paraId="229010ED" w14:textId="77777777" w:rsidR="00E35B30" w:rsidRPr="00BA784D" w:rsidRDefault="0036612A">
            <w:pPr>
              <w:numPr>
                <w:ilvl w:val="0"/>
                <w:numId w:val="10"/>
              </w:numPr>
              <w:spacing w:line="360" w:lineRule="auto"/>
              <w:ind w:left="474" w:hanging="426"/>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Ley de Disciplina Financiera de las Entidades Federativas y los Municipios.</w:t>
            </w:r>
          </w:p>
        </w:tc>
      </w:tr>
      <w:tr w:rsidR="00E35B30" w:rsidRPr="00BA784D" w14:paraId="50CD9552" w14:textId="77777777">
        <w:trPr>
          <w:trHeight w:val="231"/>
        </w:trPr>
        <w:tc>
          <w:tcPr>
            <w:tcW w:w="8818" w:type="dxa"/>
            <w:gridSpan w:val="4"/>
            <w:tcBorders>
              <w:left w:val="single" w:sz="8" w:space="0" w:color="000000"/>
              <w:bottom w:val="single" w:sz="8" w:space="0" w:color="000000"/>
              <w:right w:val="single" w:sz="8" w:space="0" w:color="000000"/>
            </w:tcBorders>
            <w:shd w:val="clear" w:color="auto" w:fill="1F4E79"/>
            <w:tcMar>
              <w:top w:w="100" w:type="dxa"/>
              <w:left w:w="100" w:type="dxa"/>
              <w:bottom w:w="100" w:type="dxa"/>
              <w:right w:w="100" w:type="dxa"/>
            </w:tcMar>
          </w:tcPr>
          <w:p w14:paraId="17271140" w14:textId="77777777" w:rsidR="00E35B30" w:rsidRPr="00BA784D" w:rsidRDefault="0036612A">
            <w:pPr>
              <w:spacing w:line="360" w:lineRule="auto"/>
              <w:jc w:val="center"/>
              <w:rPr>
                <w:rFonts w:ascii="Times New Roman" w:eastAsia="Times New Roman" w:hAnsi="Times New Roman" w:cs="Times New Roman"/>
                <w:b/>
                <w:color w:val="FFFFFF"/>
                <w:sz w:val="24"/>
                <w:szCs w:val="24"/>
              </w:rPr>
            </w:pPr>
            <w:r w:rsidRPr="00BA784D">
              <w:rPr>
                <w:rFonts w:ascii="Times New Roman" w:eastAsia="Times New Roman" w:hAnsi="Times New Roman" w:cs="Times New Roman"/>
                <w:b/>
                <w:color w:val="FFFFFF"/>
                <w:sz w:val="24"/>
                <w:szCs w:val="24"/>
              </w:rPr>
              <w:t>Archivo y Gestión documental</w:t>
            </w:r>
          </w:p>
        </w:tc>
      </w:tr>
      <w:tr w:rsidR="00E35B30" w:rsidRPr="00BA784D" w14:paraId="41AB324E" w14:textId="77777777">
        <w:trPr>
          <w:trHeight w:val="720"/>
        </w:trPr>
        <w:tc>
          <w:tcPr>
            <w:tcW w:w="155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E65928"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Leyes</w:t>
            </w:r>
          </w:p>
        </w:tc>
        <w:tc>
          <w:tcPr>
            <w:tcW w:w="7267"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14F742BA"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 Ley General de Archivos.</w:t>
            </w:r>
          </w:p>
          <w:p w14:paraId="6CC7A253"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 28 leyes estatales de archivos.</w:t>
            </w:r>
          </w:p>
        </w:tc>
      </w:tr>
      <w:tr w:rsidR="00E35B30" w:rsidRPr="00BA784D" w14:paraId="377A0A12" w14:textId="77777777">
        <w:trPr>
          <w:trHeight w:val="240"/>
        </w:trPr>
        <w:tc>
          <w:tcPr>
            <w:tcW w:w="155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B5A064"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Reglamento</w:t>
            </w:r>
          </w:p>
        </w:tc>
        <w:tc>
          <w:tcPr>
            <w:tcW w:w="7267"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55D71629"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 Reglamento de la Ley Federal de Archivos</w:t>
            </w:r>
          </w:p>
        </w:tc>
      </w:tr>
      <w:tr w:rsidR="00E35B30" w:rsidRPr="00BA784D" w14:paraId="30F107DD" w14:textId="77777777">
        <w:trPr>
          <w:trHeight w:val="840"/>
        </w:trPr>
        <w:tc>
          <w:tcPr>
            <w:tcW w:w="155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E132F2"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Normas</w:t>
            </w:r>
          </w:p>
        </w:tc>
        <w:tc>
          <w:tcPr>
            <w:tcW w:w="7267"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5D6C6905"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 Norma de Archivo Contable Gubernamental</w:t>
            </w:r>
          </w:p>
          <w:p w14:paraId="2305CF5E"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 Normas generales para el registro, afectación, disposición final y baja de bienes muebles de la Administración Pública Federal Centralizada</w:t>
            </w:r>
          </w:p>
        </w:tc>
      </w:tr>
      <w:tr w:rsidR="00E35B30" w:rsidRPr="00BA784D" w14:paraId="1DE64B0B" w14:textId="77777777">
        <w:trPr>
          <w:trHeight w:val="3048"/>
        </w:trPr>
        <w:tc>
          <w:tcPr>
            <w:tcW w:w="155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C78466"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Lineamientos</w:t>
            </w:r>
          </w:p>
        </w:tc>
        <w:tc>
          <w:tcPr>
            <w:tcW w:w="7267"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662F1219"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 Lineamientos generales para la organización y conservación de los archivos del Poder Ejecutivo Federal publicados el 3 de julio de 2015 y emitidos por el Archivo General de la Nación y el Instituto Nacional de Transparencia, Acceso a la Información y Protección de Datos Personales.</w:t>
            </w:r>
          </w:p>
          <w:p w14:paraId="36D62924"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 Lineamientos para analizar, valorar y decidir el destino final de la documentación de las dependencias y entidades del Poder Ejecutivo Federal.</w:t>
            </w:r>
          </w:p>
          <w:p w14:paraId="50F51EAC"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 Lineamientos Generales para la Organización y Conservación de los Archivos del Poder Ejecutivo Federal.</w:t>
            </w:r>
          </w:p>
          <w:p w14:paraId="66A68918"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4. Lineamientos para la Creación y Uso de Sistemas Automatizados de Gestión y Control de Documentos.</w:t>
            </w:r>
          </w:p>
        </w:tc>
      </w:tr>
      <w:tr w:rsidR="00E35B30" w:rsidRPr="00BA784D" w14:paraId="1F727E1D" w14:textId="77777777">
        <w:trPr>
          <w:trHeight w:val="690"/>
        </w:trPr>
        <w:tc>
          <w:tcPr>
            <w:tcW w:w="155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D99900"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Disposiciones</w:t>
            </w:r>
          </w:p>
        </w:tc>
        <w:tc>
          <w:tcPr>
            <w:tcW w:w="7267"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04CF4ABA"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 Disposiciones Generales en las materias de Archivos y Transparencia para la Administración Pública Federal y su Anexo Único.</w:t>
            </w:r>
          </w:p>
        </w:tc>
      </w:tr>
      <w:tr w:rsidR="00E35B30" w:rsidRPr="00BA784D" w14:paraId="4925091B" w14:textId="77777777">
        <w:trPr>
          <w:trHeight w:val="1976"/>
        </w:trPr>
        <w:tc>
          <w:tcPr>
            <w:tcW w:w="155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5CEF63"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Guías</w:t>
            </w:r>
          </w:p>
        </w:tc>
        <w:tc>
          <w:tcPr>
            <w:tcW w:w="7267"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36585C11"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 Guía para la Salvaguarda de Documentos en Circunstancias de Riesgo</w:t>
            </w:r>
          </w:p>
          <w:p w14:paraId="76D0CD5E"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 Guía para la Auditoría Archivística.</w:t>
            </w:r>
          </w:p>
          <w:p w14:paraId="43637D25"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 Guía para el Descarte de libros o publicaciones periódicas que se ubican en los Archivos de Concentración de las dependencias y entidades de la Administración Pública Federal.</w:t>
            </w:r>
          </w:p>
          <w:p w14:paraId="5AC4C0CB"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4. Guía para la Identificación de Series Documentales con Valor Secundario.</w:t>
            </w:r>
          </w:p>
        </w:tc>
      </w:tr>
      <w:tr w:rsidR="00E35B30" w:rsidRPr="00BA784D" w14:paraId="5B0104EA" w14:textId="77777777">
        <w:trPr>
          <w:trHeight w:val="1977"/>
        </w:trPr>
        <w:tc>
          <w:tcPr>
            <w:tcW w:w="155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DB3716"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Instructivos</w:t>
            </w:r>
          </w:p>
        </w:tc>
        <w:tc>
          <w:tcPr>
            <w:tcW w:w="7267"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70DD1E81"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 Instructivo para elaborar el Cuadro General de Clasificación Archivística.</w:t>
            </w:r>
          </w:p>
          <w:p w14:paraId="6DE8410F"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 Instructivo para la elaboración del Catálogo de Disposición Documental</w:t>
            </w:r>
          </w:p>
          <w:p w14:paraId="0214C295"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 Instructivo para la Transferencia Secundaria de Archivos (soporte papel) dictaminados con valor histórico al Archivo General de la Nación.</w:t>
            </w:r>
          </w:p>
          <w:p w14:paraId="7179716B"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4.Instructivo para el Trámite de Baja Documental de Archivos del Gobierno Federal.</w:t>
            </w:r>
          </w:p>
        </w:tc>
      </w:tr>
      <w:tr w:rsidR="00E35B30" w:rsidRPr="00BA784D" w14:paraId="79E8D029" w14:textId="77777777">
        <w:trPr>
          <w:trHeight w:val="979"/>
        </w:trPr>
        <w:tc>
          <w:tcPr>
            <w:tcW w:w="155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267D44"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Recomenda-ciones</w:t>
            </w:r>
          </w:p>
        </w:tc>
        <w:tc>
          <w:tcPr>
            <w:tcW w:w="7267"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4CA087FF"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 Recomendaciones para Proyectos de Digitalización de Documentos</w:t>
            </w:r>
          </w:p>
          <w:p w14:paraId="458E29DD"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 Recomendaciones para la Organización y Conservación de Correos Electrónicos Institucionales de las dependencias y entidades de la Administración Pública Federal.</w:t>
            </w:r>
          </w:p>
        </w:tc>
      </w:tr>
      <w:tr w:rsidR="00E35B30" w:rsidRPr="00BA784D" w14:paraId="0E353BFE" w14:textId="77777777">
        <w:trPr>
          <w:trHeight w:val="198"/>
        </w:trPr>
        <w:tc>
          <w:tcPr>
            <w:tcW w:w="8818" w:type="dxa"/>
            <w:gridSpan w:val="4"/>
            <w:tcBorders>
              <w:left w:val="single" w:sz="8" w:space="0" w:color="000000"/>
              <w:bottom w:val="single" w:sz="8" w:space="0" w:color="000000"/>
              <w:right w:val="single" w:sz="8" w:space="0" w:color="000000"/>
            </w:tcBorders>
            <w:shd w:val="clear" w:color="auto" w:fill="366091"/>
            <w:tcMar>
              <w:top w:w="100" w:type="dxa"/>
              <w:left w:w="100" w:type="dxa"/>
              <w:bottom w:w="100" w:type="dxa"/>
              <w:right w:w="100" w:type="dxa"/>
            </w:tcMar>
          </w:tcPr>
          <w:p w14:paraId="73869CAB" w14:textId="77777777" w:rsidR="00E35B30" w:rsidRPr="00BA784D" w:rsidRDefault="0036612A">
            <w:pPr>
              <w:spacing w:line="360" w:lineRule="auto"/>
              <w:jc w:val="center"/>
              <w:rPr>
                <w:rFonts w:ascii="Times New Roman" w:eastAsia="Times New Roman" w:hAnsi="Times New Roman" w:cs="Times New Roman"/>
                <w:b/>
                <w:sz w:val="24"/>
                <w:szCs w:val="24"/>
              </w:rPr>
            </w:pPr>
            <w:r w:rsidRPr="00BA784D">
              <w:rPr>
                <w:rFonts w:ascii="Times New Roman" w:eastAsia="Times New Roman" w:hAnsi="Times New Roman" w:cs="Times New Roman"/>
                <w:b/>
                <w:color w:val="FFFFFF"/>
                <w:sz w:val="24"/>
                <w:szCs w:val="24"/>
              </w:rPr>
              <w:t>Mejora Regulatoria</w:t>
            </w:r>
          </w:p>
        </w:tc>
      </w:tr>
      <w:tr w:rsidR="00E35B30" w:rsidRPr="00BA784D" w14:paraId="2C8BAEE9" w14:textId="77777777">
        <w:trPr>
          <w:trHeight w:val="14"/>
        </w:trPr>
        <w:tc>
          <w:tcPr>
            <w:tcW w:w="155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4B3A18"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Leyes</w:t>
            </w:r>
          </w:p>
        </w:tc>
        <w:tc>
          <w:tcPr>
            <w:tcW w:w="7267"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2ED678E8"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 Ley General de Mejora Regulatoria</w:t>
            </w:r>
          </w:p>
          <w:p w14:paraId="000074C1" w14:textId="081A3F26" w:rsidR="008B209A" w:rsidRPr="00BA784D" w:rsidRDefault="008B209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 Leyes estatales de Mejora Regulatoria</w:t>
            </w:r>
          </w:p>
        </w:tc>
      </w:tr>
      <w:tr w:rsidR="00E35B30" w:rsidRPr="00BA784D" w14:paraId="22F575CB" w14:textId="77777777">
        <w:trPr>
          <w:trHeight w:val="14"/>
        </w:trPr>
        <w:tc>
          <w:tcPr>
            <w:tcW w:w="155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C1ED3A"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Acuerdo</w:t>
            </w:r>
          </w:p>
        </w:tc>
        <w:tc>
          <w:tcPr>
            <w:tcW w:w="7267"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7BB67D65"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 Estrategia Nacional de Mejora Regulatoria</w:t>
            </w:r>
          </w:p>
        </w:tc>
      </w:tr>
      <w:tr w:rsidR="00E35B30" w:rsidRPr="00BA784D" w14:paraId="569E6EEE" w14:textId="77777777">
        <w:trPr>
          <w:trHeight w:val="231"/>
        </w:trPr>
        <w:tc>
          <w:tcPr>
            <w:tcW w:w="8818" w:type="dxa"/>
            <w:gridSpan w:val="4"/>
            <w:tcBorders>
              <w:left w:val="single" w:sz="8" w:space="0" w:color="000000"/>
              <w:bottom w:val="single" w:sz="8" w:space="0" w:color="000000"/>
              <w:right w:val="single" w:sz="8" w:space="0" w:color="000000"/>
            </w:tcBorders>
            <w:shd w:val="clear" w:color="auto" w:fill="1F4E79"/>
            <w:tcMar>
              <w:top w:w="100" w:type="dxa"/>
              <w:left w:w="100" w:type="dxa"/>
              <w:bottom w:w="100" w:type="dxa"/>
              <w:right w:w="100" w:type="dxa"/>
            </w:tcMar>
          </w:tcPr>
          <w:p w14:paraId="3DB4A804" w14:textId="77777777" w:rsidR="00E35B30" w:rsidRPr="00BA784D" w:rsidRDefault="0036612A">
            <w:pPr>
              <w:spacing w:line="360" w:lineRule="auto"/>
              <w:jc w:val="center"/>
              <w:rPr>
                <w:rFonts w:ascii="Times New Roman" w:eastAsia="Times New Roman" w:hAnsi="Times New Roman" w:cs="Times New Roman"/>
                <w:b/>
                <w:color w:val="FFFFFF"/>
                <w:sz w:val="24"/>
                <w:szCs w:val="24"/>
              </w:rPr>
            </w:pPr>
            <w:r w:rsidRPr="00BA784D">
              <w:rPr>
                <w:rFonts w:ascii="Times New Roman" w:eastAsia="Times New Roman" w:hAnsi="Times New Roman" w:cs="Times New Roman"/>
                <w:b/>
                <w:color w:val="FFFFFF"/>
                <w:sz w:val="24"/>
                <w:szCs w:val="24"/>
              </w:rPr>
              <w:t>Tecnologías de Información</w:t>
            </w:r>
          </w:p>
        </w:tc>
      </w:tr>
      <w:tr w:rsidR="00E35B30" w:rsidRPr="00BA784D" w14:paraId="5A398A9B" w14:textId="77777777">
        <w:trPr>
          <w:trHeight w:val="40"/>
        </w:trPr>
        <w:tc>
          <w:tcPr>
            <w:tcW w:w="155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127342"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Decretos</w:t>
            </w:r>
          </w:p>
        </w:tc>
        <w:tc>
          <w:tcPr>
            <w:tcW w:w="7267"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39DC79CD"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 Decreto por el que se establece la regulación en materia de Datos Abiertos.</w:t>
            </w:r>
          </w:p>
        </w:tc>
      </w:tr>
      <w:tr w:rsidR="00E35B30" w:rsidRPr="00BA784D" w14:paraId="4C36E3D7" w14:textId="77777777">
        <w:trPr>
          <w:trHeight w:val="2112"/>
        </w:trPr>
        <w:tc>
          <w:tcPr>
            <w:tcW w:w="155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87540B"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Acuerdos</w:t>
            </w:r>
          </w:p>
        </w:tc>
        <w:tc>
          <w:tcPr>
            <w:tcW w:w="7267"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1EB00DE1"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 Acuerdo que tiene por objeto emitir las Disposiciones Generales en las materias de Archivos y de Gobierno Abierto para la Administración Pública Federal y su Anexo Único.</w:t>
            </w:r>
          </w:p>
          <w:p w14:paraId="63112928"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 Acuerdo por el que se aprueba la Norma Técnica para el acceso y publicación de Datos Abiertos de la Información Estadística y Geográfica de Interés Nacional.</w:t>
            </w:r>
          </w:p>
          <w:p w14:paraId="2464DB1E"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 Acuerdo por el que se establece el Esquema de Interoperabilidad y de Datos Abiertos de la Administración Pública Federal.</w:t>
            </w:r>
          </w:p>
        </w:tc>
      </w:tr>
      <w:tr w:rsidR="00E35B30" w:rsidRPr="00BA784D" w14:paraId="69921FD2" w14:textId="77777777">
        <w:trPr>
          <w:trHeight w:val="417"/>
        </w:trPr>
        <w:tc>
          <w:tcPr>
            <w:tcW w:w="155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CF960E"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Guías</w:t>
            </w:r>
          </w:p>
        </w:tc>
        <w:tc>
          <w:tcPr>
            <w:tcW w:w="7267"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66BC86F4"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 Guía de Implementación de la Política de Datos Abiertos.</w:t>
            </w:r>
          </w:p>
        </w:tc>
      </w:tr>
      <w:tr w:rsidR="00E35B30" w:rsidRPr="00BA784D" w14:paraId="795C4F72" w14:textId="77777777">
        <w:trPr>
          <w:trHeight w:val="485"/>
        </w:trPr>
        <w:tc>
          <w:tcPr>
            <w:tcW w:w="1551" w:type="dxa"/>
            <w:shd w:val="clear" w:color="auto" w:fill="auto"/>
            <w:tcMar>
              <w:top w:w="100" w:type="dxa"/>
              <w:left w:w="100" w:type="dxa"/>
              <w:bottom w:w="100" w:type="dxa"/>
              <w:right w:w="100" w:type="dxa"/>
            </w:tcMar>
          </w:tcPr>
          <w:p w14:paraId="25DBABAF" w14:textId="77777777" w:rsidR="00E35B30" w:rsidRPr="00BA784D" w:rsidRDefault="00E35B30">
            <w:pPr>
              <w:spacing w:line="360" w:lineRule="auto"/>
              <w:jc w:val="both"/>
              <w:rPr>
                <w:rFonts w:ascii="Times New Roman" w:eastAsia="Times New Roman" w:hAnsi="Times New Roman" w:cs="Times New Roman"/>
                <w:sz w:val="24"/>
                <w:szCs w:val="24"/>
              </w:rPr>
            </w:pPr>
          </w:p>
        </w:tc>
        <w:tc>
          <w:tcPr>
            <w:tcW w:w="603" w:type="dxa"/>
            <w:shd w:val="clear" w:color="auto" w:fill="auto"/>
            <w:tcMar>
              <w:top w:w="100" w:type="dxa"/>
              <w:left w:w="100" w:type="dxa"/>
              <w:bottom w:w="100" w:type="dxa"/>
              <w:right w:w="100" w:type="dxa"/>
            </w:tcMar>
          </w:tcPr>
          <w:p w14:paraId="77561DBB" w14:textId="77777777" w:rsidR="00E35B30" w:rsidRPr="00BA784D" w:rsidRDefault="00E35B30">
            <w:pPr>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437" w:type="dxa"/>
            <w:shd w:val="clear" w:color="auto" w:fill="auto"/>
            <w:tcMar>
              <w:top w:w="100" w:type="dxa"/>
              <w:left w:w="100" w:type="dxa"/>
              <w:bottom w:w="100" w:type="dxa"/>
              <w:right w:w="100" w:type="dxa"/>
            </w:tcMar>
          </w:tcPr>
          <w:p w14:paraId="3DBF81E0" w14:textId="77777777" w:rsidR="00E35B30" w:rsidRPr="00BA784D" w:rsidRDefault="00E35B30">
            <w:pPr>
              <w:pBdr>
                <w:top w:val="nil"/>
                <w:left w:val="nil"/>
                <w:bottom w:val="nil"/>
                <w:right w:val="nil"/>
                <w:between w:val="nil"/>
              </w:pBdr>
              <w:spacing w:line="360" w:lineRule="auto"/>
              <w:rPr>
                <w:rFonts w:ascii="Times New Roman" w:eastAsia="Times New Roman" w:hAnsi="Times New Roman" w:cs="Times New Roman"/>
                <w:sz w:val="24"/>
                <w:szCs w:val="24"/>
              </w:rPr>
            </w:pPr>
          </w:p>
        </w:tc>
        <w:tc>
          <w:tcPr>
            <w:tcW w:w="5227" w:type="dxa"/>
            <w:shd w:val="clear" w:color="auto" w:fill="auto"/>
            <w:tcMar>
              <w:top w:w="100" w:type="dxa"/>
              <w:left w:w="100" w:type="dxa"/>
              <w:bottom w:w="100" w:type="dxa"/>
              <w:right w:w="100" w:type="dxa"/>
            </w:tcMar>
          </w:tcPr>
          <w:p w14:paraId="76E63A6D" w14:textId="77777777" w:rsidR="00E35B30" w:rsidRPr="00BA784D" w:rsidRDefault="00E35B30">
            <w:pPr>
              <w:pBdr>
                <w:top w:val="nil"/>
                <w:left w:val="nil"/>
                <w:bottom w:val="nil"/>
                <w:right w:val="nil"/>
                <w:between w:val="nil"/>
              </w:pBdr>
              <w:spacing w:line="360" w:lineRule="auto"/>
              <w:rPr>
                <w:rFonts w:ascii="Times New Roman" w:eastAsia="Times New Roman" w:hAnsi="Times New Roman" w:cs="Times New Roman"/>
                <w:sz w:val="24"/>
                <w:szCs w:val="24"/>
              </w:rPr>
            </w:pPr>
          </w:p>
        </w:tc>
      </w:tr>
    </w:tbl>
    <w:p w14:paraId="6560BF53" w14:textId="77777777" w:rsidR="00E35B30" w:rsidRPr="00BA784D" w:rsidRDefault="0036612A">
      <w:pPr>
        <w:spacing w:before="240" w:after="240" w:line="360" w:lineRule="auto"/>
        <w:jc w:val="both"/>
        <w:rPr>
          <w:rFonts w:ascii="Times New Roman" w:eastAsia="Times New Roman" w:hAnsi="Times New Roman" w:cs="Times New Roman"/>
          <w:sz w:val="24"/>
          <w:szCs w:val="24"/>
        </w:rPr>
      </w:pPr>
      <w:bookmarkStart w:id="9" w:name="_heading=h.mi9n2s7o2iv0" w:colFirst="0" w:colLast="0"/>
      <w:bookmarkEnd w:id="9"/>
      <w:r w:rsidRPr="00BA784D">
        <w:br w:type="page"/>
      </w:r>
    </w:p>
    <w:p w14:paraId="4B98B72E" w14:textId="77777777" w:rsidR="00E35B30" w:rsidRPr="00BA784D" w:rsidRDefault="0036612A">
      <w:pPr>
        <w:pStyle w:val="Ttulo2"/>
        <w:spacing w:line="360" w:lineRule="auto"/>
        <w:ind w:left="0"/>
        <w:rPr>
          <w:sz w:val="24"/>
          <w:szCs w:val="24"/>
        </w:rPr>
      </w:pPr>
      <w:bookmarkStart w:id="10" w:name="_Toc102051221"/>
      <w:r w:rsidRPr="00BA784D">
        <w:rPr>
          <w:sz w:val="24"/>
          <w:szCs w:val="24"/>
        </w:rPr>
        <w:lastRenderedPageBreak/>
        <w:t>CONTENIDO PROTAI</w:t>
      </w:r>
      <w:bookmarkEnd w:id="10"/>
    </w:p>
    <w:p w14:paraId="3CB84C5C" w14:textId="77777777" w:rsidR="00E35B30" w:rsidRPr="00BA784D" w:rsidRDefault="00E35B30">
      <w:pPr>
        <w:spacing w:line="360" w:lineRule="auto"/>
        <w:rPr>
          <w:rFonts w:ascii="Times New Roman" w:eastAsia="Times New Roman" w:hAnsi="Times New Roman" w:cs="Times New Roman"/>
          <w:sz w:val="24"/>
          <w:szCs w:val="24"/>
        </w:rPr>
      </w:pPr>
    </w:p>
    <w:p w14:paraId="5F3BCC01" w14:textId="643F27C5" w:rsidR="0051688F" w:rsidRPr="00BA784D" w:rsidRDefault="0036612A" w:rsidP="0051688F">
      <w:pPr>
        <w:pStyle w:val="Ttulo3"/>
      </w:pPr>
      <w:bookmarkStart w:id="11" w:name="_Toc102051222"/>
      <w:r w:rsidRPr="00BA784D">
        <w:t>OBJETIVO GENERAL</w:t>
      </w:r>
      <w:r w:rsidRPr="00BA784D">
        <w:rPr>
          <w:b w:val="0"/>
        </w:rPr>
        <w:t>:</w:t>
      </w:r>
      <w:bookmarkEnd w:id="11"/>
      <w:r w:rsidRPr="00BA784D">
        <w:t xml:space="preserve"> </w:t>
      </w:r>
    </w:p>
    <w:p w14:paraId="65E5ABAC" w14:textId="77777777" w:rsidR="0051688F" w:rsidRPr="00BA784D" w:rsidRDefault="0051688F" w:rsidP="0051688F"/>
    <w:p w14:paraId="05562770" w14:textId="37043701" w:rsidR="00E35B30" w:rsidRPr="00BA784D" w:rsidRDefault="0036612A" w:rsidP="0051688F">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Fortalecer institucionalmente la profesionalización y los procedimientos de garantía progresiva</w:t>
      </w:r>
      <w:r w:rsidR="001252A1"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sz w:val="24"/>
          <w:szCs w:val="24"/>
        </w:rPr>
        <w:t>del derecho de acceso a la información, la apertura del Estado, la transparencia, la rendición de cuentas y lucha contra la corrupción; por medio de la mejora regulatoria, la promoción y difusión de la cultura de transparencia, la capacitación y formación de las personas del servicio público, el aprovechamiento del desarrollo tecnológico y la coordinación institucional entre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Sistema Nacional de Transparencia, Acceso a la Información y Protección de Datos Personales (SNT) y los sujetos obligados de la Ley General de Transparencia y Acceso a la Información Pública (LGTAIP) y demás leyes en la materia. </w:t>
      </w:r>
    </w:p>
    <w:p w14:paraId="5533A823" w14:textId="77777777" w:rsidR="00E35B30" w:rsidRPr="00BA784D" w:rsidRDefault="00E35B30">
      <w:pPr>
        <w:spacing w:line="360" w:lineRule="auto"/>
        <w:rPr>
          <w:rFonts w:ascii="Times New Roman" w:eastAsia="Times New Roman" w:hAnsi="Times New Roman" w:cs="Times New Roman"/>
          <w:sz w:val="24"/>
          <w:szCs w:val="24"/>
        </w:rPr>
      </w:pPr>
      <w:bookmarkStart w:id="12" w:name="_heading=h.gjdgxs" w:colFirst="0" w:colLast="0"/>
      <w:bookmarkEnd w:id="12"/>
    </w:p>
    <w:p w14:paraId="39C62640" w14:textId="77777777" w:rsidR="00E35B30" w:rsidRPr="00BA784D" w:rsidRDefault="0036612A">
      <w:pPr>
        <w:pStyle w:val="Ttulo3"/>
      </w:pPr>
      <w:bookmarkStart w:id="13" w:name="_Toc102051223"/>
      <w:r w:rsidRPr="00BA784D">
        <w:t>OBJETIVOS ESPECÍFICOS:</w:t>
      </w:r>
      <w:bookmarkEnd w:id="13"/>
    </w:p>
    <w:p w14:paraId="01B62F6F" w14:textId="37BEE613" w:rsidR="00E35B30" w:rsidRPr="00BA784D" w:rsidRDefault="0036612A">
      <w:pPr>
        <w:widowControl/>
        <w:numPr>
          <w:ilvl w:val="0"/>
          <w:numId w:val="14"/>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Establecer mecanismos de coordinación entre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que generen sinergias y uso eficiente de sus capacidades institucionales, presupuestos, profesionalización, especialización y autonomía de toma de decisiones para lograr el objetivo general del PROTAI.</w:t>
      </w:r>
    </w:p>
    <w:p w14:paraId="4546620E" w14:textId="77777777" w:rsidR="00E35B30" w:rsidRPr="00BA784D" w:rsidRDefault="0036612A">
      <w:pPr>
        <w:widowControl/>
        <w:numPr>
          <w:ilvl w:val="0"/>
          <w:numId w:val="14"/>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Definir responsabilidades específicas de los sujetos obligados y mecanismos de monitoreo, en el ámbito de competencia de cada organismo garante, en la consecución del cumplimiento del marco normativo en la materia y las materias del PROTAI.</w:t>
      </w:r>
    </w:p>
    <w:p w14:paraId="382C9DC9" w14:textId="7AF46A6F" w:rsidR="00E35B30" w:rsidRPr="00BA784D" w:rsidRDefault="0036612A">
      <w:pPr>
        <w:widowControl/>
        <w:numPr>
          <w:ilvl w:val="0"/>
          <w:numId w:val="14"/>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Organizar el trabajo coordinado entre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para simplificar el marco normativo, la ingeniería de procesos institucionales, el uso de las tecnologías de información, así como la capacitación, profesionalización</w:t>
      </w:r>
      <w:r w:rsidR="00D52142"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 xml:space="preserve"> difusión y accesibilidad de los derechos, la transparencia, la gestión documental y de archivos, la rendición de cuentas y la lucha contra la corrupción entre los sujetos obligados de las leyes en la materia.</w:t>
      </w:r>
    </w:p>
    <w:p w14:paraId="22AE0BAD" w14:textId="0DA41219" w:rsidR="00E35B30" w:rsidRPr="00BA784D" w:rsidRDefault="0036612A">
      <w:pPr>
        <w:widowControl/>
        <w:numPr>
          <w:ilvl w:val="0"/>
          <w:numId w:val="14"/>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Fomentar la coordinación entre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en el diseño y ejecución de políticas </w:t>
      </w:r>
      <w:r w:rsidR="002F1A9B" w:rsidRPr="00BA784D">
        <w:rPr>
          <w:rFonts w:ascii="Times New Roman" w:eastAsia="Times New Roman" w:hAnsi="Times New Roman" w:cs="Times New Roman"/>
          <w:sz w:val="24"/>
          <w:szCs w:val="24"/>
        </w:rPr>
        <w:t xml:space="preserve">públicas en materia </w:t>
      </w:r>
      <w:r w:rsidRPr="00BA784D">
        <w:rPr>
          <w:rFonts w:ascii="Times New Roman" w:eastAsia="Times New Roman" w:hAnsi="Times New Roman" w:cs="Times New Roman"/>
          <w:sz w:val="24"/>
          <w:szCs w:val="24"/>
        </w:rPr>
        <w:t>de transparencia y para el ejercicio</w:t>
      </w:r>
      <w:r w:rsidR="00BE70D4" w:rsidRPr="00BA784D">
        <w:rPr>
          <w:rFonts w:ascii="Times New Roman" w:eastAsia="Times New Roman" w:hAnsi="Times New Roman" w:cs="Times New Roman"/>
          <w:sz w:val="24"/>
          <w:szCs w:val="24"/>
        </w:rPr>
        <w:t xml:space="preserve"> universal</w:t>
      </w:r>
      <w:r w:rsidRPr="00BA784D">
        <w:rPr>
          <w:rFonts w:ascii="Times New Roman" w:eastAsia="Times New Roman" w:hAnsi="Times New Roman" w:cs="Times New Roman"/>
          <w:sz w:val="24"/>
          <w:szCs w:val="24"/>
        </w:rPr>
        <w:t xml:space="preserve"> del derecho de acceso a la información que favorezcan la resolución de </w:t>
      </w:r>
      <w:r w:rsidRPr="00BA784D">
        <w:rPr>
          <w:rFonts w:ascii="Times New Roman" w:eastAsia="Times New Roman" w:hAnsi="Times New Roman" w:cs="Times New Roman"/>
          <w:sz w:val="24"/>
          <w:szCs w:val="24"/>
        </w:rPr>
        <w:lastRenderedPageBreak/>
        <w:t>problemas sociales, el acceso a servicios, trámites y programas sociales con participación social, respeto a los derechos humanos, con inclusión y libre de discriminación.</w:t>
      </w:r>
    </w:p>
    <w:p w14:paraId="0A02B5A8" w14:textId="77777777" w:rsidR="00E35B30" w:rsidRPr="00BA784D" w:rsidRDefault="00E35B30">
      <w:pPr>
        <w:spacing w:line="360" w:lineRule="auto"/>
        <w:rPr>
          <w:rFonts w:ascii="Times New Roman" w:eastAsia="Times New Roman" w:hAnsi="Times New Roman" w:cs="Times New Roman"/>
          <w:sz w:val="24"/>
          <w:szCs w:val="24"/>
        </w:rPr>
      </w:pPr>
    </w:p>
    <w:p w14:paraId="24FF9E49" w14:textId="77777777" w:rsidR="00E35B30" w:rsidRPr="00BA784D" w:rsidRDefault="0036612A">
      <w:pPr>
        <w:pStyle w:val="Ttulo3"/>
      </w:pPr>
      <w:bookmarkStart w:id="14" w:name="_Toc102051224"/>
      <w:r w:rsidRPr="00BA784D">
        <w:t>ESTRATEGIAS:</w:t>
      </w:r>
      <w:bookmarkEnd w:id="14"/>
      <w:r w:rsidRPr="00BA784D">
        <w:t xml:space="preserve"> </w:t>
      </w:r>
    </w:p>
    <w:p w14:paraId="7D682F75" w14:textId="77777777" w:rsidR="00E35B30" w:rsidRPr="00BA784D" w:rsidRDefault="0036612A">
      <w:pPr>
        <w:widowControl/>
        <w:spacing w:before="200" w:line="360" w:lineRule="auto"/>
        <w:ind w:left="100" w:right="1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El PROTAI cuenta con siete estrategias vinculadas con los objetivos estratégicos de los ejes como herramientas que permiten darle mayor simplicidad a la organización del trabajo coordinado del SNT y sus integrantes.</w:t>
      </w:r>
    </w:p>
    <w:p w14:paraId="20F18CA6" w14:textId="77777777" w:rsidR="00E35B30" w:rsidRPr="00BA784D" w:rsidRDefault="0036612A">
      <w:pPr>
        <w:widowControl/>
        <w:spacing w:before="200" w:line="360" w:lineRule="auto"/>
        <w:ind w:left="100" w:right="1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En el anterior programa se desarrollaron seis estrategias (1. Marco normativo, 2. Tecnologías de la Información y Plataforma Nacional de Transparencia, 3. Coordinación Institucional del SNT, 4. Desempeño Institucional y procesos, 5. Capacitación y Fortalecimiento de Recursos Humanos y 6. Difusión) que son retomadas casi en su totalidad con algunas variaciones. A excepción del caso de “desempeño institucional y procesos” que se eleva ahora a nivel de eje transversal a partir de la experiencia en el diseño de los primeros programas nacionales PROTAI y PRONADATOS y la relevancia en la construcción de Organismos Garantes fuertes, profesionales y autónomos; el resto de</w:t>
      </w:r>
      <w:r w:rsidR="002F1A9B" w:rsidRPr="00BA784D">
        <w:rPr>
          <w:rFonts w:ascii="Times New Roman" w:eastAsia="Times New Roman" w:hAnsi="Times New Roman" w:cs="Times New Roman"/>
          <w:sz w:val="24"/>
          <w:szCs w:val="24"/>
        </w:rPr>
        <w:t xml:space="preserve"> las</w:t>
      </w:r>
      <w:r w:rsidRPr="00BA784D">
        <w:rPr>
          <w:rFonts w:ascii="Times New Roman" w:eastAsia="Times New Roman" w:hAnsi="Times New Roman" w:cs="Times New Roman"/>
          <w:sz w:val="24"/>
          <w:szCs w:val="24"/>
        </w:rPr>
        <w:t xml:space="preserve"> estrategias buscan replantearse en términos instrumentales claros.</w:t>
      </w:r>
    </w:p>
    <w:p w14:paraId="6DAD7A91" w14:textId="77777777" w:rsidR="00E35B30" w:rsidRPr="00BA784D" w:rsidRDefault="0036612A">
      <w:pPr>
        <w:widowControl/>
        <w:spacing w:before="200" w:line="360" w:lineRule="auto"/>
        <w:ind w:left="100" w:right="1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De tal forma que las estrategias descritas a continuación se ubican en la categoría de condiciones, tácticas, o medios que permitirán a las instituciones integrantes del SNT alcanzar los objetivos de los Ejes Temáticos.</w:t>
      </w:r>
    </w:p>
    <w:p w14:paraId="33440AB5" w14:textId="77777777" w:rsidR="00E35B30" w:rsidRPr="00BA784D" w:rsidRDefault="0036612A">
      <w:pPr>
        <w:widowControl/>
        <w:spacing w:before="120" w:line="360" w:lineRule="auto"/>
        <w:ind w:left="1180" w:right="120" w:hanging="3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1. </w:t>
      </w:r>
      <w:r w:rsidRPr="00BA784D">
        <w:rPr>
          <w:rFonts w:ascii="Times New Roman" w:eastAsia="Times New Roman" w:hAnsi="Times New Roman" w:cs="Times New Roman"/>
          <w:b/>
          <w:sz w:val="24"/>
          <w:szCs w:val="24"/>
        </w:rPr>
        <w:t>Socialización (nueva):</w:t>
      </w:r>
      <w:r w:rsidRPr="00BA784D">
        <w:rPr>
          <w:rFonts w:ascii="Times New Roman" w:eastAsia="Times New Roman" w:hAnsi="Times New Roman" w:cs="Times New Roman"/>
          <w:sz w:val="24"/>
          <w:szCs w:val="24"/>
        </w:rPr>
        <w:t xml:space="preserve"> Unos de los principales desafíos estratégicos para los Organismos Garantes es el bajo conocimiento y ejercicio de los derechos que garantizan, sumado a que sus funciones involucran la promoción activa de sus materias y en el desarrollo de políticas públicas se vuelven fundamentales el desarrollo de mecanismos de socialización directa, que permitan incrementar la formación de agentes multiplicadores del acceso a la información en sectores especializados y personas en situación de vulnerabilidad: sociedad civil, activistas, periodistas, académicos, divulgadores, entre otros, que permitirán aumentar y diversificar el número de los beneficiarios en su ejercicio. De forma particular, el caso del desarrollo del Plan de Socialización del Derecho de </w:t>
      </w:r>
      <w:r w:rsidRPr="00BA784D">
        <w:rPr>
          <w:rFonts w:ascii="Times New Roman" w:eastAsia="Times New Roman" w:hAnsi="Times New Roman" w:cs="Times New Roman"/>
          <w:sz w:val="24"/>
          <w:szCs w:val="24"/>
        </w:rPr>
        <w:lastRenderedPageBreak/>
        <w:t xml:space="preserve">Acceso a la Información (Plan DAI) representa un ejemplo claro de una herramienta probada y con un diseño metodológico robusto para implementar esta estrategia (mayor información en </w:t>
      </w:r>
      <w:hyperlink r:id="rId21">
        <w:r w:rsidRPr="00BA784D">
          <w:rPr>
            <w:rFonts w:ascii="Times New Roman" w:eastAsia="Times New Roman" w:hAnsi="Times New Roman" w:cs="Times New Roman"/>
            <w:sz w:val="24"/>
            <w:szCs w:val="24"/>
            <w:u w:val="single"/>
          </w:rPr>
          <w:t>https://micrositios.inai.org.mx/plandai</w:t>
        </w:r>
      </w:hyperlink>
      <w:r w:rsidRPr="00BA784D">
        <w:rPr>
          <w:rFonts w:ascii="Times New Roman" w:eastAsia="Times New Roman" w:hAnsi="Times New Roman" w:cs="Times New Roman"/>
          <w:sz w:val="24"/>
          <w:szCs w:val="24"/>
        </w:rPr>
        <w:t xml:space="preserve">). </w:t>
      </w:r>
    </w:p>
    <w:p w14:paraId="545B894F" w14:textId="77777777" w:rsidR="00E35B30" w:rsidRPr="00BA784D" w:rsidRDefault="0036612A">
      <w:pPr>
        <w:widowControl/>
        <w:spacing w:line="360" w:lineRule="auto"/>
        <w:ind w:left="820" w:right="1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56AF8772" w14:textId="77777777" w:rsidR="00E35B30" w:rsidRPr="00BA784D" w:rsidRDefault="0036612A">
      <w:pPr>
        <w:widowControl/>
        <w:spacing w:line="360" w:lineRule="auto"/>
        <w:ind w:left="1180" w:right="120" w:hanging="3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2. </w:t>
      </w:r>
      <w:r w:rsidRPr="00BA784D">
        <w:rPr>
          <w:rFonts w:ascii="Times New Roman" w:eastAsia="Times New Roman" w:hAnsi="Times New Roman" w:cs="Times New Roman"/>
          <w:b/>
          <w:sz w:val="24"/>
          <w:szCs w:val="24"/>
        </w:rPr>
        <w:t xml:space="preserve">Coordinación (antes Coordinación Institucional del SNT): </w:t>
      </w:r>
      <w:r w:rsidRPr="00BA784D">
        <w:rPr>
          <w:rFonts w:ascii="Times New Roman" w:eastAsia="Times New Roman" w:hAnsi="Times New Roman" w:cs="Times New Roman"/>
          <w:sz w:val="24"/>
          <w:szCs w:val="24"/>
        </w:rPr>
        <w:t>Tras más de cinco años de operación, las instancias del SNT (Comisiones, Regiones, Coordinación de Organismos Garantes de las Entidades Federativas, y Consejo Nacional) se han consolidado como espacios de diálogo y coordinación, incluso con agendas particulares en contingencias específicas. En 2020 se aprobaron ajustes a las primeras versiones de los programas nacionales que buscaron dar mayor incidencia a las Comisiones en la realización de acciones coordinadas y con un sentido de priorización respecto al cumplimiento de los objetivos. Por lo tanto, establecer Comisiones específicas para el desarrollo de acciones, rutas o mecanismos de colaboración entre las mismas y los Organismos Garantes o los Organismos Garantes y sus Sujetos Obligados se vuelve fundamental para lograr una implementación, ejecución y seguimiento de los temas del PROTAI más eficaz.</w:t>
      </w:r>
    </w:p>
    <w:p w14:paraId="26EC01E6" w14:textId="77777777" w:rsidR="00E35B30" w:rsidRPr="00BA784D" w:rsidRDefault="0036612A">
      <w:pPr>
        <w:widowControl/>
        <w:spacing w:line="360" w:lineRule="auto"/>
        <w:ind w:right="1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47119418" w14:textId="77777777" w:rsidR="00E35B30" w:rsidRPr="00BA784D" w:rsidRDefault="0036612A">
      <w:pPr>
        <w:widowControl/>
        <w:spacing w:line="360" w:lineRule="auto"/>
        <w:ind w:left="1180" w:right="120" w:hanging="3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3. </w:t>
      </w:r>
      <w:r w:rsidRPr="00BA784D">
        <w:rPr>
          <w:rFonts w:ascii="Times New Roman" w:eastAsia="Times New Roman" w:hAnsi="Times New Roman" w:cs="Times New Roman"/>
          <w:b/>
          <w:sz w:val="24"/>
          <w:szCs w:val="24"/>
        </w:rPr>
        <w:t xml:space="preserve">Capacitación (antes Capacitación y fortalecimiento de recursos humanos): </w:t>
      </w:r>
      <w:r w:rsidRPr="00BA784D">
        <w:rPr>
          <w:rFonts w:ascii="Times New Roman" w:eastAsia="Times New Roman" w:hAnsi="Times New Roman" w:cs="Times New Roman"/>
          <w:sz w:val="24"/>
          <w:szCs w:val="24"/>
        </w:rPr>
        <w:t xml:space="preserve">Desde la anterior versión del PROTAI, en que se estableció la necesidad de esta estrategia, se han fortalecido las herramientas didácticas, pero también la cantidad de temas en los que es necesario capacitar al personal de los sujetos obligados y profesionalizar a los Organismos Garantes con la emisión de nuevas leyes; al mismo tiempo, la contingencia sanitaria por COVID-19 ha impulsado la virtualidad a nuevos niveles desarrollando estos mecanismos de forma importante. Por lo cual en este caso la Red Nacional por la Cultura de la Transparencia y la Protección de Datos Personales con su Programa de Capacitación en </w:t>
      </w:r>
      <w:r w:rsidR="002F1A9B" w:rsidRPr="00BA784D">
        <w:rPr>
          <w:rFonts w:ascii="Times New Roman" w:eastAsia="Times New Roman" w:hAnsi="Times New Roman" w:cs="Times New Roman"/>
          <w:sz w:val="24"/>
          <w:szCs w:val="24"/>
        </w:rPr>
        <w:t xml:space="preserve">materia de </w:t>
      </w:r>
      <w:r w:rsidRPr="00BA784D">
        <w:rPr>
          <w:rFonts w:ascii="Times New Roman" w:eastAsia="Times New Roman" w:hAnsi="Times New Roman" w:cs="Times New Roman"/>
          <w:sz w:val="24"/>
          <w:szCs w:val="24"/>
        </w:rPr>
        <w:t xml:space="preserve">Transparencia, Acceso a la Información, Protección de Datos de Personales y Temas Relacionados con Alcance Nacional; así como el Centro Virtual de Formación en Acceso a la Información y Protección de </w:t>
      </w:r>
      <w:r w:rsidRPr="00BA784D">
        <w:rPr>
          <w:rFonts w:ascii="Times New Roman" w:eastAsia="Times New Roman" w:hAnsi="Times New Roman" w:cs="Times New Roman"/>
          <w:sz w:val="24"/>
          <w:szCs w:val="24"/>
        </w:rPr>
        <w:lastRenderedPageBreak/>
        <w:t>Datos Personales se convierten en instrumentos replicables a nivel nacional para dar cauce a las necesidades de capacitación.</w:t>
      </w:r>
    </w:p>
    <w:p w14:paraId="086B37C3" w14:textId="77777777" w:rsidR="00E35B30" w:rsidRPr="00BA784D" w:rsidRDefault="0036612A">
      <w:pPr>
        <w:widowControl/>
        <w:spacing w:line="360" w:lineRule="auto"/>
        <w:ind w:left="720"/>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1446DB8E" w14:textId="0921C240" w:rsidR="00E35B30" w:rsidRPr="00BA784D" w:rsidRDefault="0036612A">
      <w:pPr>
        <w:widowControl/>
        <w:numPr>
          <w:ilvl w:val="0"/>
          <w:numId w:val="10"/>
        </w:numPr>
        <w:pBdr>
          <w:top w:val="nil"/>
          <w:left w:val="nil"/>
          <w:bottom w:val="nil"/>
          <w:right w:val="nil"/>
          <w:between w:val="nil"/>
        </w:pBdr>
        <w:spacing w:before="120" w:line="360" w:lineRule="auto"/>
        <w:ind w:left="1134" w:right="120" w:hanging="283"/>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b/>
          <w:color w:val="000000"/>
          <w:sz w:val="24"/>
          <w:szCs w:val="24"/>
        </w:rPr>
        <w:t xml:space="preserve">Plataforma Nacional de Transparencia y Tecnologías de la información (PNT y TICs): </w:t>
      </w:r>
      <w:r w:rsidRPr="00BA784D">
        <w:rPr>
          <w:rFonts w:ascii="Times New Roman" w:eastAsia="Times New Roman" w:hAnsi="Times New Roman" w:cs="Times New Roman"/>
          <w:color w:val="000000"/>
          <w:sz w:val="24"/>
          <w:szCs w:val="24"/>
        </w:rPr>
        <w:t xml:space="preserve">La PNT se ha convertido en el instrumento </w:t>
      </w:r>
      <w:r w:rsidR="002F1A9B" w:rsidRPr="00BA784D">
        <w:rPr>
          <w:rFonts w:ascii="Times New Roman" w:eastAsia="Times New Roman" w:hAnsi="Times New Roman" w:cs="Times New Roman"/>
          <w:color w:val="000000"/>
          <w:sz w:val="24"/>
          <w:szCs w:val="24"/>
        </w:rPr>
        <w:t xml:space="preserve">que homologa </w:t>
      </w:r>
      <w:r w:rsidRPr="00BA784D">
        <w:rPr>
          <w:rFonts w:ascii="Times New Roman" w:eastAsia="Times New Roman" w:hAnsi="Times New Roman" w:cs="Times New Roman"/>
          <w:color w:val="000000"/>
          <w:sz w:val="24"/>
          <w:szCs w:val="24"/>
        </w:rPr>
        <w:t>el ejercicio de derechos al conjuntar en un solo espacio electrónico la consulta de información pública obligatoria, su solicitud y la gestión medios de impugnación para casi ocho mil sujetos obligados, por lo cual es una herramienta clave para cualquiera de los ejes involucrados en este programa; asimismo, las tecnologías de la información y comunicación son la base para hacer esto posible</w:t>
      </w:r>
      <w:r w:rsidR="00D44C86" w:rsidRPr="00BA784D">
        <w:rPr>
          <w:rFonts w:ascii="Times New Roman" w:eastAsia="Times New Roman" w:hAnsi="Times New Roman" w:cs="Times New Roman"/>
          <w:color w:val="000000"/>
          <w:sz w:val="24"/>
          <w:szCs w:val="24"/>
        </w:rPr>
        <w:t>;</w:t>
      </w:r>
      <w:r w:rsidRPr="00BA784D">
        <w:rPr>
          <w:rFonts w:ascii="Times New Roman" w:eastAsia="Times New Roman" w:hAnsi="Times New Roman" w:cs="Times New Roman"/>
          <w:color w:val="000000"/>
          <w:sz w:val="24"/>
          <w:szCs w:val="24"/>
        </w:rPr>
        <w:t xml:space="preserve"> adecuadas conexiones a internet, infraestructura de almacenamiento y procesamiento, así como equipos funcionales y licenciamientos vigentes son clave para lograr los objetivos establecidos.</w:t>
      </w:r>
    </w:p>
    <w:p w14:paraId="7D619466" w14:textId="77777777" w:rsidR="00E35B30" w:rsidRPr="00BA784D" w:rsidRDefault="00E35B30">
      <w:pPr>
        <w:widowControl/>
        <w:pBdr>
          <w:top w:val="nil"/>
          <w:left w:val="nil"/>
          <w:bottom w:val="nil"/>
          <w:right w:val="nil"/>
          <w:between w:val="nil"/>
        </w:pBdr>
        <w:spacing w:line="360" w:lineRule="auto"/>
        <w:ind w:left="720" w:right="120"/>
        <w:jc w:val="both"/>
        <w:rPr>
          <w:rFonts w:ascii="Times New Roman" w:eastAsia="Times New Roman" w:hAnsi="Times New Roman" w:cs="Times New Roman"/>
          <w:color w:val="000000"/>
          <w:sz w:val="24"/>
          <w:szCs w:val="24"/>
        </w:rPr>
      </w:pPr>
    </w:p>
    <w:p w14:paraId="238707A4" w14:textId="77777777" w:rsidR="00E35B30" w:rsidRPr="00BA784D" w:rsidRDefault="0036612A">
      <w:pPr>
        <w:widowControl/>
        <w:numPr>
          <w:ilvl w:val="0"/>
          <w:numId w:val="10"/>
        </w:numPr>
        <w:pBdr>
          <w:top w:val="nil"/>
          <w:left w:val="nil"/>
          <w:bottom w:val="nil"/>
          <w:right w:val="nil"/>
          <w:between w:val="nil"/>
        </w:pBdr>
        <w:spacing w:line="360" w:lineRule="auto"/>
        <w:ind w:left="1134" w:right="120" w:hanging="283"/>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b/>
          <w:color w:val="000000"/>
          <w:sz w:val="24"/>
          <w:szCs w:val="24"/>
        </w:rPr>
        <w:t xml:space="preserve">Mejora Regulatoria (antes Marco normativo): </w:t>
      </w:r>
      <w:r w:rsidRPr="00BA784D">
        <w:rPr>
          <w:rFonts w:ascii="Times New Roman" w:eastAsia="Times New Roman" w:hAnsi="Times New Roman" w:cs="Times New Roman"/>
          <w:color w:val="000000"/>
          <w:sz w:val="24"/>
          <w:szCs w:val="24"/>
        </w:rPr>
        <w:t>Uno de los riesgos más importantes detectados desde el diagnóstico anterior fue la sobrecarga regulatoria de nuevas obligaciones en las instituciones públicas, derivado del modelo</w:t>
      </w:r>
      <w:r w:rsidRPr="00BA784D">
        <w:rPr>
          <w:rFonts w:ascii="Times New Roman" w:eastAsia="Times New Roman" w:hAnsi="Times New Roman" w:cs="Times New Roman"/>
          <w:b/>
          <w:color w:val="000000"/>
          <w:sz w:val="24"/>
          <w:szCs w:val="24"/>
        </w:rPr>
        <w:t xml:space="preserve"> </w:t>
      </w:r>
      <w:r w:rsidRPr="00BA784D">
        <w:rPr>
          <w:rFonts w:ascii="Times New Roman" w:eastAsia="Times New Roman" w:hAnsi="Times New Roman" w:cs="Times New Roman"/>
          <w:color w:val="000000"/>
          <w:sz w:val="24"/>
          <w:szCs w:val="24"/>
        </w:rPr>
        <w:t>legal que se diseñó para normar las distintas materias de la reforma constitucional de 2014 (acceso a la información, protección de datos personales y archivos); en este sentido cobra relevancia el establecimiento del Sistema Nacional de Mejora Regulatoria que busca simplificar y promover la eficiencia de la regulación, con lo que se vuelven necesarias acciones de valoración para la emisión de nuevos instrumentos normativos y revisar los existentes, como lo posibilita la estrategia de implementación y seguimiento normativo acordada por el SNT. Cabe señalar que en dicho Sistema participa como invitado permanente a nivel nacional la Presidencia del INAI y en las entidades federativas las Presidencias de los Organismos Garantes.</w:t>
      </w:r>
    </w:p>
    <w:p w14:paraId="0E3CD85A" w14:textId="77777777" w:rsidR="00E35B30" w:rsidRPr="00BA784D" w:rsidRDefault="0036612A">
      <w:pPr>
        <w:widowControl/>
        <w:spacing w:line="360" w:lineRule="auto"/>
        <w:ind w:right="1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4F44A9E5" w14:textId="1843765F" w:rsidR="00E35B30" w:rsidRPr="00BA784D" w:rsidRDefault="0036612A">
      <w:pPr>
        <w:widowControl/>
        <w:spacing w:line="360" w:lineRule="auto"/>
        <w:ind w:left="1180" w:right="120" w:hanging="3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6. </w:t>
      </w:r>
      <w:r w:rsidRPr="00BA784D">
        <w:rPr>
          <w:rFonts w:ascii="Times New Roman" w:eastAsia="Times New Roman" w:hAnsi="Times New Roman" w:cs="Times New Roman"/>
          <w:b/>
          <w:sz w:val="24"/>
          <w:szCs w:val="24"/>
        </w:rPr>
        <w:t xml:space="preserve">Inclusión (nueva): </w:t>
      </w:r>
      <w:r w:rsidRPr="00BA784D">
        <w:rPr>
          <w:rFonts w:ascii="Times New Roman" w:eastAsia="Times New Roman" w:hAnsi="Times New Roman" w:cs="Times New Roman"/>
          <w:sz w:val="24"/>
          <w:szCs w:val="24"/>
        </w:rPr>
        <w:t>El desarrollo de acciones para garantizar y promover el ejercicio de derechos fundamentales</w:t>
      </w:r>
      <w:r w:rsidR="00D44C86"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 xml:space="preserve"> como lo es el derecho de acceso a la información, </w:t>
      </w:r>
      <w:r w:rsidR="00DA60AF" w:rsidRPr="00BA784D">
        <w:rPr>
          <w:rFonts w:ascii="Times New Roman" w:eastAsia="Times New Roman" w:hAnsi="Times New Roman" w:cs="Times New Roman"/>
          <w:sz w:val="24"/>
          <w:szCs w:val="24"/>
        </w:rPr>
        <w:t xml:space="preserve">el cual </w:t>
      </w:r>
      <w:r w:rsidRPr="00BA784D">
        <w:rPr>
          <w:rFonts w:ascii="Times New Roman" w:eastAsia="Times New Roman" w:hAnsi="Times New Roman" w:cs="Times New Roman"/>
          <w:sz w:val="24"/>
          <w:szCs w:val="24"/>
        </w:rPr>
        <w:t xml:space="preserve">requiere de ampliar sus alcances a toda la diversidad de la </w:t>
      </w:r>
      <w:r w:rsidRPr="00BA784D">
        <w:rPr>
          <w:rFonts w:ascii="Times New Roman" w:eastAsia="Times New Roman" w:hAnsi="Times New Roman" w:cs="Times New Roman"/>
          <w:sz w:val="24"/>
          <w:szCs w:val="24"/>
        </w:rPr>
        <w:lastRenderedPageBreak/>
        <w:t>población, así como generar condiciones y mecanismos para superar las brechas sociales, vulnerabilidades y desigualdades. Con base en la promesa de la Agenda 2030 de “no dejar a nadie atrás” promovida por la Organización de las Naciones Unidas, las estrategias deben centrarse en los grupos más desfavorecidos como las personas con discapacidad, los pueblos indígenas, la juventud, las personas migrantes y refugiadas, las mujeres y niñas vulnerables, las personas mayores, y las personas en situación de pobreza y de discriminación en cualquiera de sus formas</w:t>
      </w:r>
      <w:r w:rsidR="001252A1" w:rsidRPr="00BA784D">
        <w:rPr>
          <w:rFonts w:ascii="Times New Roman" w:eastAsia="Times New Roman" w:hAnsi="Times New Roman" w:cs="Times New Roman"/>
          <w:sz w:val="24"/>
          <w:szCs w:val="24"/>
        </w:rPr>
        <w:t>, así como las que se encuentran en situación de analfabetismo digital.</w:t>
      </w:r>
    </w:p>
    <w:p w14:paraId="18368EAF" w14:textId="77777777" w:rsidR="00E35B30" w:rsidRPr="00BA784D" w:rsidRDefault="0036612A">
      <w:pPr>
        <w:widowControl/>
        <w:spacing w:line="360" w:lineRule="auto"/>
        <w:ind w:right="1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000C96E9" w14:textId="5C344A6C" w:rsidR="00E35B30" w:rsidRPr="00BA784D" w:rsidRDefault="0036612A">
      <w:pPr>
        <w:widowControl/>
        <w:spacing w:line="360" w:lineRule="auto"/>
        <w:ind w:left="1180" w:right="120" w:hanging="3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7. </w:t>
      </w:r>
      <w:r w:rsidRPr="00BA784D">
        <w:rPr>
          <w:rFonts w:ascii="Times New Roman" w:eastAsia="Times New Roman" w:hAnsi="Times New Roman" w:cs="Times New Roman"/>
          <w:b/>
          <w:sz w:val="24"/>
          <w:szCs w:val="24"/>
        </w:rPr>
        <w:t xml:space="preserve">Comunicación (antes Difusión): </w:t>
      </w:r>
      <w:r w:rsidRPr="00BA784D">
        <w:rPr>
          <w:rFonts w:ascii="Times New Roman" w:eastAsia="Times New Roman" w:hAnsi="Times New Roman" w:cs="Times New Roman"/>
          <w:sz w:val="24"/>
          <w:szCs w:val="24"/>
        </w:rPr>
        <w:t xml:space="preserve">Los distintos retos identificados en los diagnósticos previos y la situación del ejercicio y conocimiento social de las materias del </w:t>
      </w:r>
      <w:r w:rsidR="00DA60AF" w:rsidRPr="00BA784D">
        <w:rPr>
          <w:rFonts w:ascii="Times New Roman" w:eastAsia="Times New Roman" w:hAnsi="Times New Roman" w:cs="Times New Roman"/>
          <w:sz w:val="24"/>
          <w:szCs w:val="24"/>
        </w:rPr>
        <w:t>P</w:t>
      </w:r>
      <w:r w:rsidRPr="00BA784D">
        <w:rPr>
          <w:rFonts w:ascii="Times New Roman" w:eastAsia="Times New Roman" w:hAnsi="Times New Roman" w:cs="Times New Roman"/>
          <w:sz w:val="24"/>
          <w:szCs w:val="24"/>
        </w:rPr>
        <w:t>rograma hacían fundamental establecer esta estrategia como un pilar para difundir en los distintos públicos la información y el ejercicio del derecho con el fin consolidar y ampliar la participación, vinculación y retroalimentación de los actores relacionados al PROTAI; tras el primer ejercicio con los programas hubo una importante concentración de acciones en este tema por parte de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sin embargo, el impacto de las acciones no ha sido identificado y han sido esfuerzos desiguales y con poca coordinación y alcance nacional. Por ello es necesario reorganizar los trabajos hacia una estrategia de comunicación efectiva y coordinada, así como a monitorear sus resultados e impacto.</w:t>
      </w:r>
    </w:p>
    <w:p w14:paraId="7E06191F" w14:textId="77777777" w:rsidR="00E35B30" w:rsidRPr="00BA784D" w:rsidRDefault="0036612A">
      <w:pPr>
        <w:widowControl/>
        <w:spacing w:line="360" w:lineRule="auto"/>
        <w:ind w:left="360"/>
        <w:jc w:val="both"/>
        <w:rPr>
          <w:rFonts w:ascii="Times New Roman" w:eastAsia="Times New Roman" w:hAnsi="Times New Roman" w:cs="Times New Roman"/>
          <w:b/>
          <w:sz w:val="24"/>
          <w:szCs w:val="24"/>
        </w:rPr>
      </w:pPr>
      <w:r w:rsidRPr="00BA784D">
        <w:br w:type="page"/>
      </w:r>
    </w:p>
    <w:p w14:paraId="4AFEA81C" w14:textId="77777777" w:rsidR="00E35B30" w:rsidRPr="00BA784D" w:rsidRDefault="0036612A">
      <w:pPr>
        <w:pStyle w:val="Ttulo2"/>
        <w:spacing w:line="360" w:lineRule="auto"/>
        <w:ind w:firstLine="120"/>
        <w:rPr>
          <w:sz w:val="24"/>
          <w:szCs w:val="24"/>
        </w:rPr>
      </w:pPr>
      <w:bookmarkStart w:id="15" w:name="_Toc102051225"/>
      <w:r w:rsidRPr="00BA784D">
        <w:rPr>
          <w:sz w:val="24"/>
          <w:szCs w:val="24"/>
        </w:rPr>
        <w:lastRenderedPageBreak/>
        <w:t>ESTRUCTURA:</w:t>
      </w:r>
      <w:bookmarkEnd w:id="15"/>
    </w:p>
    <w:p w14:paraId="26840660"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noProof/>
          <w:sz w:val="24"/>
          <w:szCs w:val="24"/>
        </w:rPr>
        <w:drawing>
          <wp:inline distT="114300" distB="114300" distL="114300" distR="114300" wp14:anchorId="7F1C5BE0" wp14:editId="7DFDAE36">
            <wp:extent cx="5612130" cy="6807200"/>
            <wp:effectExtent l="0" t="0" r="0" b="0"/>
            <wp:docPr id="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612130" cy="6807200"/>
                    </a:xfrm>
                    <a:prstGeom prst="rect">
                      <a:avLst/>
                    </a:prstGeom>
                    <a:ln/>
                  </pic:spPr>
                </pic:pic>
              </a:graphicData>
            </a:graphic>
          </wp:inline>
        </w:drawing>
      </w:r>
    </w:p>
    <w:p w14:paraId="31F5604D" w14:textId="77777777" w:rsidR="00E35B30" w:rsidRPr="00BA784D" w:rsidRDefault="0036612A">
      <w:pPr>
        <w:keepNext/>
        <w:keepLines/>
        <w:widowControl/>
        <w:pBdr>
          <w:top w:val="nil"/>
          <w:left w:val="nil"/>
          <w:bottom w:val="nil"/>
          <w:right w:val="nil"/>
          <w:between w:val="nil"/>
        </w:pBdr>
        <w:spacing w:before="240" w:line="360" w:lineRule="auto"/>
        <w:rPr>
          <w:rFonts w:ascii="Times New Roman" w:eastAsia="Times New Roman" w:hAnsi="Times New Roman" w:cs="Times New Roman"/>
          <w:sz w:val="24"/>
          <w:szCs w:val="24"/>
        </w:rPr>
      </w:pPr>
      <w:r w:rsidRPr="00BA784D">
        <w:br w:type="page"/>
      </w:r>
    </w:p>
    <w:p w14:paraId="2D7C3221" w14:textId="77777777" w:rsidR="00E35B30" w:rsidRPr="00BA784D" w:rsidRDefault="0036612A">
      <w:pPr>
        <w:pStyle w:val="Ttulo2"/>
        <w:spacing w:line="360" w:lineRule="auto"/>
        <w:ind w:left="0"/>
        <w:rPr>
          <w:sz w:val="24"/>
          <w:szCs w:val="24"/>
        </w:rPr>
      </w:pPr>
      <w:bookmarkStart w:id="16" w:name="_Toc102051226"/>
      <w:r w:rsidRPr="00BA784D">
        <w:rPr>
          <w:sz w:val="24"/>
          <w:szCs w:val="24"/>
        </w:rPr>
        <w:lastRenderedPageBreak/>
        <w:t>Eje 1. Archivo y Gestión Documental</w:t>
      </w:r>
      <w:bookmarkEnd w:id="16"/>
    </w:p>
    <w:p w14:paraId="109BF2C2" w14:textId="762CE481"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Síntesis de la problemática identificada en el diagnóstico:</w:t>
      </w:r>
      <w:r w:rsidRPr="00BA784D">
        <w:rPr>
          <w:rFonts w:ascii="Times New Roman" w:eastAsia="Times New Roman" w:hAnsi="Times New Roman" w:cs="Times New Roman"/>
          <w:sz w:val="24"/>
          <w:szCs w:val="24"/>
        </w:rPr>
        <w:t xml:space="preserve"> Las principales problemáticas ubicadas en el PROTAI 2017-2021 han sido atendidas de manera variada. Si bien la falta de un sistema de archivos y procedimientos para el manejo de información y el fortalecimiento de los programas o planes estratégicos de gestión documental de los Sujetos Obligados ya no representan unas prioridades sustantivas. Como se señala en el documento diagnóstico de este programa: la gestión documental en medios electrónicos, la capacitación del personal especializado, así como continuar con la armonización e implementación de la Ley en materia de archivos siguen siendo retos imperantes. Puesto que la disparidad en los procesos y normatividad de archivo y gestión documental entre los Organismos Garantes del país origina deficiencias en el acceso a la información pública, en particular, en muchos no se generan documentos electrónicos o un control de expedientes</w:t>
      </w:r>
      <w:r w:rsidR="00EE1712"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 xml:space="preserve"> y documentos electrónicos</w:t>
      </w:r>
      <w:r w:rsidR="00C17BD9"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sz w:val="24"/>
          <w:szCs w:val="24"/>
        </w:rPr>
        <w:t>Para que los Organismos Garantes estén en posibilidad de asistir a los Sujetos Obligados en dichos procesos, deben generar capacidades mínimas hacia dentro de los mismos, al tiempo que atienden apremiante necesidad de generación de mapeos y estadísticas que les permitan diagnosticar la situación de la materia archivística en cada uno de los sujetos obligados en el país en coordinación con el CONARCH.</w:t>
      </w:r>
    </w:p>
    <w:p w14:paraId="49BCBCFD" w14:textId="77777777"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i/>
          <w:sz w:val="24"/>
          <w:szCs w:val="24"/>
        </w:rPr>
        <w:t>Objetivo Estratégico 1.1: Consolidar la regulación de la gestión documental y la administración de archivos como condición necesaria para el ejercicio y desarrollo del Derecho de Acceso a la Información Pública.</w:t>
      </w:r>
    </w:p>
    <w:p w14:paraId="68AB1ECF" w14:textId="77777777" w:rsidR="00E35B30" w:rsidRPr="00BA784D" w:rsidRDefault="0036612A">
      <w:pPr>
        <w:widowControl/>
        <w:spacing w:before="280"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Líneas de acción:</w:t>
      </w:r>
    </w:p>
    <w:p w14:paraId="07C9D06E" w14:textId="7332B4E7" w:rsidR="00E35B30" w:rsidRPr="00BA784D" w:rsidRDefault="0036612A">
      <w:pPr>
        <w:widowControl/>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1.1.1 Establecer la Comisión de Archivos y Gestión Documental como espacio de diálogo, coordinación y colaboración entre el SNT y el Sistema Nacional de Archivos (SNArch) en coordinación con el Archivo General de la Nación (AGN) y el INAI como integrante del CONARCH, para fomentar el ejercicio de la transparencia, el acceso a la información y la rendición de cuentas a través de una adecuada gestión documental y administración de archivos</w:t>
      </w:r>
      <w:r w:rsidR="004028EA" w:rsidRPr="00BA784D">
        <w:rPr>
          <w:rFonts w:ascii="Times New Roman" w:eastAsia="Times New Roman" w:hAnsi="Times New Roman" w:cs="Times New Roman"/>
          <w:sz w:val="24"/>
          <w:szCs w:val="24"/>
        </w:rPr>
        <w:t xml:space="preserve"> (INAI, AGN)</w:t>
      </w:r>
      <w:r w:rsidRPr="00BA784D">
        <w:rPr>
          <w:rFonts w:ascii="Times New Roman" w:eastAsia="Times New Roman" w:hAnsi="Times New Roman" w:cs="Times New Roman"/>
          <w:sz w:val="24"/>
          <w:szCs w:val="24"/>
        </w:rPr>
        <w:t>.</w:t>
      </w:r>
    </w:p>
    <w:p w14:paraId="644DCEA5" w14:textId="24D3C5C6"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1.1.2 Fortalecer y difundir el proceso de armonización de la normatividad local en materia de gestión documental y administración de archivos en coordinación con el SNArch </w:t>
      </w:r>
      <w:r w:rsidRPr="00BA784D">
        <w:rPr>
          <w:rFonts w:ascii="Times New Roman" w:eastAsia="Times New Roman" w:hAnsi="Times New Roman" w:cs="Times New Roman"/>
          <w:sz w:val="24"/>
          <w:szCs w:val="24"/>
        </w:rPr>
        <w:lastRenderedPageBreak/>
        <w:t>y el AGN, por medio de los mecanismos que considere el SNT, con el desarrollo de guías, lineamientos, recomendaciones e instrumentos modelo de acompañamiento, así como análisis legales en los casos que sea necesario</w:t>
      </w:r>
      <w:r w:rsidR="004028EA" w:rsidRPr="00BA784D">
        <w:rPr>
          <w:rFonts w:ascii="Times New Roman" w:eastAsia="Times New Roman" w:hAnsi="Times New Roman" w:cs="Times New Roman"/>
          <w:sz w:val="24"/>
          <w:szCs w:val="24"/>
        </w:rPr>
        <w:t xml:space="preserve"> (INAI, AGN, OGL)</w:t>
      </w:r>
      <w:r w:rsidRPr="00BA784D">
        <w:rPr>
          <w:rFonts w:ascii="Times New Roman" w:eastAsia="Times New Roman" w:hAnsi="Times New Roman" w:cs="Times New Roman"/>
          <w:sz w:val="24"/>
          <w:szCs w:val="24"/>
        </w:rPr>
        <w:t>.</w:t>
      </w:r>
    </w:p>
    <w:p w14:paraId="17FD831C" w14:textId="48F0799C"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1.1.3-C Línea Transversal de Profesionalización y Fortalecimiento Institucional.</w:t>
      </w:r>
      <w:r w:rsidRPr="00BA784D">
        <w:rPr>
          <w:rFonts w:ascii="Times New Roman" w:eastAsia="Times New Roman" w:hAnsi="Times New Roman" w:cs="Times New Roman"/>
          <w:sz w:val="24"/>
          <w:szCs w:val="24"/>
        </w:rPr>
        <w:t xml:space="preserve"> Articular y supervisar contenidos normativos y técnicos en materia de archivos en coordinación con las comisiones del SNT de Archivos y Gestión Documental; Capacitación, Educación y Cultura y el AGN, para su aprovechamiento en los instrumentos de capacitación del SNT establecidos en la línea de acción 2.1.1-C</w:t>
      </w:r>
      <w:r w:rsidR="004028EA" w:rsidRPr="00BA784D">
        <w:rPr>
          <w:rFonts w:ascii="Times New Roman" w:eastAsia="Times New Roman" w:hAnsi="Times New Roman" w:cs="Times New Roman"/>
          <w:sz w:val="24"/>
          <w:szCs w:val="24"/>
        </w:rPr>
        <w:t xml:space="preserve"> (INAI, AGN, OGL)</w:t>
      </w:r>
      <w:r w:rsidRPr="00BA784D">
        <w:rPr>
          <w:rFonts w:ascii="Times New Roman" w:eastAsia="Times New Roman" w:hAnsi="Times New Roman" w:cs="Times New Roman"/>
          <w:sz w:val="24"/>
          <w:szCs w:val="24"/>
        </w:rPr>
        <w:t xml:space="preserve">. </w:t>
      </w:r>
    </w:p>
    <w:p w14:paraId="739B839D" w14:textId="2CD73B93"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1.1.4-C Línea Transversal de Profesionalización y Fortalecimiento Institucional. </w:t>
      </w:r>
      <w:r w:rsidRPr="00BA784D">
        <w:rPr>
          <w:rFonts w:ascii="Times New Roman" w:eastAsia="Times New Roman" w:hAnsi="Times New Roman" w:cs="Times New Roman"/>
          <w:sz w:val="24"/>
          <w:szCs w:val="24"/>
        </w:rPr>
        <w:t>Acompañar a los sujetos obligados en la implementación de su Sistema Automatizado para la Gestión Documental y Administración de Archivos por medio de los instrumentos de capacitación del SNT establecidos en la línea de acción 2.1.1-C, priorizando sectores o grupos de instituciones conforme su situación o avances</w:t>
      </w:r>
      <w:r w:rsidR="004028EA"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301511F3" w14:textId="79740BA4"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1.1.5-B Línea Transversal DDHH, Enfoque de Género e Inclusión Social. </w:t>
      </w:r>
      <w:r w:rsidRPr="00BA784D">
        <w:rPr>
          <w:rFonts w:ascii="Times New Roman" w:eastAsia="Times New Roman" w:hAnsi="Times New Roman" w:cs="Times New Roman"/>
          <w:sz w:val="24"/>
          <w:szCs w:val="24"/>
        </w:rPr>
        <w:t>Propiciar la generación de alianzas y convenios con la sociedad civil, instituciones académicas</w:t>
      </w:r>
      <w:r w:rsidR="006727B1"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 xml:space="preserve"> autoridades especializadas en sectores especializados y personas en situación de vulnerabilidad, para identificar áreas de oportunidad en archivos y gestión documental, así como su vinculación con el derecho de acceso a la información por medio de investigaciones, diagnósticos, replicación de buenas prácticas y/o certificaciones</w:t>
      </w:r>
      <w:r w:rsidR="004028EA"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335E711E" w14:textId="472FA7CD"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1.1.6-A 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 xml:space="preserve">ransversal de Promoción, Difusión y Fomento de la Cultura. </w:t>
      </w:r>
      <w:r w:rsidRPr="00BA784D">
        <w:rPr>
          <w:rFonts w:ascii="Times New Roman" w:eastAsia="Times New Roman" w:hAnsi="Times New Roman" w:cs="Times New Roman"/>
          <w:sz w:val="24"/>
          <w:szCs w:val="24"/>
        </w:rPr>
        <w:t>Generar, aprobar y difundir, de forma individual por integrante o en conjunto con las comisiones del SNT correspondientes (Archivos y Gestión Documental y Capacitación, Educación y Cultura) y el AGN, productos y materiales de comunicación sobre la gestión documental y su impacto en el acceso a la información pública, ajustables por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o sus sujetos obligados y considerando mecanismos de evaluación de su difusión, conforme a la línea de acción 2.1.7-A</w:t>
      </w:r>
      <w:r w:rsidR="004028EA" w:rsidRPr="00BA784D">
        <w:rPr>
          <w:rFonts w:ascii="Times New Roman" w:eastAsia="Times New Roman" w:hAnsi="Times New Roman" w:cs="Times New Roman"/>
          <w:sz w:val="24"/>
          <w:szCs w:val="24"/>
        </w:rPr>
        <w:t xml:space="preserve"> (INAI, AGN, OGL)</w:t>
      </w:r>
      <w:r w:rsidRPr="00BA784D">
        <w:rPr>
          <w:rFonts w:ascii="Times New Roman" w:eastAsia="Times New Roman" w:hAnsi="Times New Roman" w:cs="Times New Roman"/>
          <w:sz w:val="24"/>
          <w:szCs w:val="24"/>
        </w:rPr>
        <w:t>.</w:t>
      </w:r>
    </w:p>
    <w:p w14:paraId="49265D92" w14:textId="65930DB1"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1.1.7 Desarrollar el procedimiento para permitir el acceso a la información pública de documentos con valor histórico, que no hayan sido transferidos a un archivo histórico y que contengan datos personales sensibles, para los casos señalados por el artículo 38 de la Ley General de Archivos</w:t>
      </w:r>
      <w:r w:rsidR="00C50BEA"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5FE0836D" w14:textId="7059995D"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1.1.8 Promover, en el marco de las atribuciones del SNT en coadyuvancia con la instancia especializada en la materia, el desarrollo de sistemas informáticos de control y gestión documental, así como de digitalización documental, tratamiento, administración y conservación de documentación electrónica</w:t>
      </w:r>
      <w:r w:rsidR="00C50BEA"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431EE130" w14:textId="2CACCA04"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1.1.9 Diseñar y aplicar, con asesoría técnica </w:t>
      </w:r>
      <w:r w:rsidR="007F732D" w:rsidRPr="00BA784D">
        <w:rPr>
          <w:rFonts w:ascii="Times New Roman" w:eastAsia="Times New Roman" w:hAnsi="Times New Roman" w:cs="Times New Roman"/>
          <w:sz w:val="24"/>
          <w:szCs w:val="24"/>
        </w:rPr>
        <w:t>d</w:t>
      </w:r>
      <w:r w:rsidRPr="00BA784D">
        <w:rPr>
          <w:rFonts w:ascii="Times New Roman" w:eastAsia="Times New Roman" w:hAnsi="Times New Roman" w:cs="Times New Roman"/>
          <w:sz w:val="24"/>
          <w:szCs w:val="24"/>
        </w:rPr>
        <w:t>el AGN y el CONARCH, un cuestionario o censo a los sujetos obligados para realizar un diagnóstico de la situación de sus archivos físicos y digitales, así como de sus sistemas institucionales de archivo</w:t>
      </w:r>
      <w:r w:rsidR="00C50BEA" w:rsidRPr="00BA784D">
        <w:rPr>
          <w:rFonts w:ascii="Times New Roman" w:eastAsia="Times New Roman" w:hAnsi="Times New Roman" w:cs="Times New Roman"/>
          <w:sz w:val="24"/>
          <w:szCs w:val="24"/>
        </w:rPr>
        <w:t xml:space="preserve"> (INAI, AGN, OGL)</w:t>
      </w:r>
      <w:r w:rsidRPr="00BA784D">
        <w:rPr>
          <w:rFonts w:ascii="Times New Roman" w:eastAsia="Times New Roman" w:hAnsi="Times New Roman" w:cs="Times New Roman"/>
          <w:sz w:val="24"/>
          <w:szCs w:val="24"/>
        </w:rPr>
        <w:t>.</w:t>
      </w:r>
    </w:p>
    <w:p w14:paraId="12B1BA31" w14:textId="30EE5D78"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1.1.10 Identificar y reconocer de forma nacional a sujetos obligados con prácticas destacadas y efectivas en el desarrollo de sistemas informáticos de control y gestión documental, digitalización documental, así como tratamiento, administración y conservación de documentación electrónica</w:t>
      </w:r>
      <w:r w:rsidR="00C50BEA" w:rsidRPr="00BA784D">
        <w:rPr>
          <w:rFonts w:ascii="Times New Roman" w:eastAsia="Times New Roman" w:hAnsi="Times New Roman" w:cs="Times New Roman"/>
          <w:sz w:val="24"/>
          <w:szCs w:val="24"/>
        </w:rPr>
        <w:t xml:space="preserve"> (INAI, AGN)</w:t>
      </w:r>
      <w:r w:rsidRPr="00BA784D">
        <w:rPr>
          <w:rFonts w:ascii="Times New Roman" w:eastAsia="Times New Roman" w:hAnsi="Times New Roman" w:cs="Times New Roman"/>
          <w:sz w:val="24"/>
          <w:szCs w:val="24"/>
        </w:rPr>
        <w:t>.</w:t>
      </w:r>
    </w:p>
    <w:p w14:paraId="4740B5C7" w14:textId="1DBDDD21"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1.1.11 Explorar y desarrollar mecanismos de vinculación de la Plataforma Nacional de Transparencia y los sistemas informáticos de control y gestión documental, en coordinación con lo establecido en la línea de acción 3.2.4-B</w:t>
      </w:r>
      <w:r w:rsidR="00C50BEA"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188A742E" w14:textId="61E4C4AD"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1.1.12-C</w:t>
      </w:r>
      <w:r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b/>
          <w:sz w:val="24"/>
          <w:szCs w:val="24"/>
        </w:rPr>
        <w:t xml:space="preserve">Línea Transversal de Profesionalización y Fortalecimiento Institucional. </w:t>
      </w:r>
      <w:r w:rsidRPr="00BA784D">
        <w:rPr>
          <w:rFonts w:ascii="Times New Roman" w:eastAsia="Times New Roman" w:hAnsi="Times New Roman" w:cs="Times New Roman"/>
          <w:sz w:val="24"/>
          <w:szCs w:val="24"/>
        </w:rPr>
        <w:t>Fomentar el desarrollo de áreas operativas o adscripción de personas servidoras públicas para realizar las funciones de archivo de concentración e histórico; así como asesorías sobre procesos internos para que Organismos Garantes con pocos recursos materiales y humanos puedan cumplir con dichas funciones</w:t>
      </w:r>
      <w:r w:rsidR="00F87858" w:rsidRPr="00BA784D">
        <w:rPr>
          <w:rFonts w:ascii="Times New Roman" w:eastAsia="Times New Roman" w:hAnsi="Times New Roman" w:cs="Times New Roman"/>
          <w:sz w:val="24"/>
          <w:szCs w:val="24"/>
        </w:rPr>
        <w:t xml:space="preserve"> (INAI, AGN)</w:t>
      </w:r>
      <w:r w:rsidRPr="00BA784D">
        <w:rPr>
          <w:rFonts w:ascii="Times New Roman" w:eastAsia="Times New Roman" w:hAnsi="Times New Roman" w:cs="Times New Roman"/>
          <w:sz w:val="24"/>
          <w:szCs w:val="24"/>
        </w:rPr>
        <w:t xml:space="preserve">. </w:t>
      </w:r>
    </w:p>
    <w:p w14:paraId="1297B6DF" w14:textId="77777777" w:rsidR="00E35B30" w:rsidRPr="00BA784D" w:rsidRDefault="0036612A">
      <w:pPr>
        <w:widowControl/>
        <w:spacing w:before="280"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Estrategias:</w:t>
      </w:r>
    </w:p>
    <w:p w14:paraId="614F384A" w14:textId="77777777" w:rsidR="00E35B30" w:rsidRPr="00BA784D" w:rsidRDefault="0036612A">
      <w:pPr>
        <w:widowControl/>
        <w:numPr>
          <w:ilvl w:val="0"/>
          <w:numId w:val="20"/>
        </w:numPr>
        <w:spacing w:before="280"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 xml:space="preserve">Socialización: </w:t>
      </w:r>
      <w:r w:rsidRPr="00BA784D">
        <w:rPr>
          <w:rFonts w:ascii="Times New Roman" w:eastAsia="Times New Roman" w:hAnsi="Times New Roman" w:cs="Times New Roman"/>
          <w:sz w:val="24"/>
          <w:szCs w:val="24"/>
        </w:rPr>
        <w:t>En el nivel de las personas del servicio público para su sensibilización y conocimiento de la norma.</w:t>
      </w:r>
    </w:p>
    <w:p w14:paraId="372F6053"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Coordinación:</w:t>
      </w:r>
      <w:r w:rsidRPr="00BA784D">
        <w:rPr>
          <w:rFonts w:ascii="Times New Roman" w:eastAsia="Times New Roman" w:hAnsi="Times New Roman" w:cs="Times New Roman"/>
          <w:sz w:val="24"/>
          <w:szCs w:val="24"/>
        </w:rPr>
        <w:t xml:space="preserve"> Vinculación con SNArch, AGN, CONARCH, INEGI y Comisiones del SNT.</w:t>
      </w:r>
    </w:p>
    <w:p w14:paraId="2F8F2A24"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Capacitación:</w:t>
      </w:r>
      <w:r w:rsidRPr="00BA784D">
        <w:rPr>
          <w:rFonts w:ascii="Times New Roman" w:eastAsia="Times New Roman" w:hAnsi="Times New Roman" w:cs="Times New Roman"/>
          <w:sz w:val="24"/>
          <w:szCs w:val="24"/>
        </w:rPr>
        <w:t xml:space="preserve"> Instrumentos del SNT establecidos en la línea de acción 2.1.1-C. </w:t>
      </w:r>
    </w:p>
    <w:p w14:paraId="225086B0"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lastRenderedPageBreak/>
        <w:t xml:space="preserve">PNT y TICs: </w:t>
      </w:r>
      <w:r w:rsidRPr="00BA784D">
        <w:rPr>
          <w:rFonts w:ascii="Times New Roman" w:eastAsia="Times New Roman" w:hAnsi="Times New Roman" w:cs="Times New Roman"/>
          <w:sz w:val="24"/>
          <w:szCs w:val="24"/>
        </w:rPr>
        <w:t>Vinculación PNT con sistemas informáticos de control y gestión documental y promoción al desarrollo de estos últimos.</w:t>
      </w:r>
    </w:p>
    <w:p w14:paraId="064BDF17"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Mejora Regulatoria: </w:t>
      </w:r>
      <w:r w:rsidRPr="00BA784D">
        <w:rPr>
          <w:rFonts w:ascii="Times New Roman" w:eastAsia="Times New Roman" w:hAnsi="Times New Roman" w:cs="Times New Roman"/>
          <w:sz w:val="24"/>
          <w:szCs w:val="24"/>
        </w:rPr>
        <w:t>Armonización y difusión de normatividad.</w:t>
      </w:r>
    </w:p>
    <w:p w14:paraId="27BA1DF8"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Inclusión:</w:t>
      </w:r>
      <w:r w:rsidRPr="00BA784D">
        <w:rPr>
          <w:rFonts w:ascii="Times New Roman" w:eastAsia="Times New Roman" w:hAnsi="Times New Roman" w:cs="Times New Roman"/>
          <w:sz w:val="24"/>
          <w:szCs w:val="24"/>
        </w:rPr>
        <w:t xml:space="preserve"> Emprender acciones, alianzas y convenios con instituciones, organizaciones y personas en situación de vulnerabilidad.</w:t>
      </w:r>
    </w:p>
    <w:p w14:paraId="2A1C77CE"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Comunicación: </w:t>
      </w:r>
      <w:r w:rsidRPr="00BA784D">
        <w:rPr>
          <w:rFonts w:ascii="Times New Roman" w:eastAsia="Times New Roman" w:hAnsi="Times New Roman" w:cs="Times New Roman"/>
          <w:sz w:val="24"/>
          <w:szCs w:val="24"/>
        </w:rPr>
        <w:t>Acciones coordinadas y evaluadas a nivel nacional y ajustables localmente a las necesidades de Organismos Garantes y Sujetos Obligados.</w:t>
      </w:r>
    </w:p>
    <w:p w14:paraId="212CE2F8" w14:textId="0A454841"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Indicador de Resultado: </w:t>
      </w:r>
      <w:r w:rsidRPr="00BA784D">
        <w:rPr>
          <w:rFonts w:ascii="Times New Roman" w:eastAsia="Times New Roman" w:hAnsi="Times New Roman" w:cs="Times New Roman"/>
          <w:sz w:val="24"/>
          <w:szCs w:val="24"/>
        </w:rPr>
        <w:t>Índice de control de la gestión documental.</w:t>
      </w:r>
    </w:p>
    <w:p w14:paraId="520C025C" w14:textId="374E24B9"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Línea Base:</w:t>
      </w:r>
      <w:r w:rsidRPr="00BA784D">
        <w:rPr>
          <w:rFonts w:ascii="Times New Roman" w:eastAsia="Times New Roman" w:hAnsi="Times New Roman" w:cs="Times New Roman"/>
          <w:sz w:val="24"/>
          <w:szCs w:val="24"/>
        </w:rPr>
        <w:t xml:space="preserve"> 5</w:t>
      </w:r>
      <w:r w:rsidR="0093345B" w:rsidRPr="00BA784D">
        <w:rPr>
          <w:rFonts w:ascii="Times New Roman" w:eastAsia="Times New Roman" w:hAnsi="Times New Roman" w:cs="Times New Roman"/>
          <w:sz w:val="24"/>
          <w:szCs w:val="24"/>
        </w:rPr>
        <w:t>9.84</w:t>
      </w:r>
      <w:r w:rsidRPr="00BA784D">
        <w:rPr>
          <w:rFonts w:ascii="Times New Roman" w:eastAsia="Times New Roman" w:hAnsi="Times New Roman" w:cs="Times New Roman"/>
          <w:sz w:val="24"/>
          <w:szCs w:val="24"/>
        </w:rPr>
        <w:t>%, CNTAI</w:t>
      </w:r>
      <w:r w:rsidR="00FD69BE" w:rsidRPr="00BA784D">
        <w:rPr>
          <w:rFonts w:ascii="Times New Roman" w:eastAsia="Times New Roman" w:hAnsi="Times New Roman" w:cs="Times New Roman"/>
          <w:sz w:val="24"/>
          <w:szCs w:val="24"/>
        </w:rPr>
        <w:t>PPDPF y CNTAIPPDPE</w:t>
      </w:r>
      <w:r w:rsidRPr="00BA784D">
        <w:rPr>
          <w:rFonts w:ascii="Times New Roman" w:eastAsia="Times New Roman" w:hAnsi="Times New Roman" w:cs="Times New Roman"/>
          <w:sz w:val="24"/>
          <w:szCs w:val="24"/>
        </w:rPr>
        <w:t xml:space="preserve"> 2020 </w:t>
      </w:r>
    </w:p>
    <w:p w14:paraId="31C35B17" w14:textId="784160E1"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Índice con dos componentes: 1) Mide el porcentaje de Organismos Garantes con existencia de procesos y mecanismos para el control del tratamiento de la documentación (cuadro de clasificación archivística, catálogo de disposición documental; sistema institucional de archivos y sistema automatizado de gestión documental y control de documentos) y el 2) porcentaje de los Organismos Garantes que incorporan documentos electrónicos a expedientes electrónicos. </w:t>
      </w:r>
    </w:p>
    <w:p w14:paraId="2E8A48C3" w14:textId="77777777" w:rsidR="00E35B30" w:rsidRPr="00BA784D" w:rsidRDefault="0036612A">
      <w:pPr>
        <w:widowControl/>
        <w:spacing w:before="280" w:after="280"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 xml:space="preserve">NOTA DE CAUCIÓN: Si se desea obtener una medición más precisa de los avances del presente objetivo se recomienda priorizar el desarrollo de la línea de acción 1.1.9, para contar con estadísticas confiables y actualizadas que permitan generar nuevos indicadores a nivel de los sujetos obligados. </w:t>
      </w:r>
    </w:p>
    <w:p w14:paraId="0A163EA7" w14:textId="77777777" w:rsidR="00E35B30" w:rsidRPr="00BA784D" w:rsidRDefault="0036612A">
      <w:pPr>
        <w:widowControl/>
        <w:spacing w:before="280" w:after="280"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Hasta el momento la PNT permite obtener los registros sobre catálogo de disposición y guías de archivo documental de la obligación general de transparencia XLV, siendo un primer acercamiento a la construcción de dichos conjuntos de datos.</w:t>
      </w:r>
    </w:p>
    <w:p w14:paraId="126E5008" w14:textId="77777777"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br w:type="page"/>
      </w:r>
    </w:p>
    <w:p w14:paraId="2D0101B3" w14:textId="77777777" w:rsidR="00E35B30" w:rsidRPr="00BA784D" w:rsidRDefault="0036612A">
      <w:pPr>
        <w:pStyle w:val="Ttulo2"/>
        <w:spacing w:line="360" w:lineRule="auto"/>
        <w:ind w:left="0" w:firstLine="14"/>
        <w:rPr>
          <w:sz w:val="24"/>
          <w:szCs w:val="24"/>
        </w:rPr>
      </w:pPr>
      <w:bookmarkStart w:id="17" w:name="_Toc102051227"/>
      <w:r w:rsidRPr="00BA784D">
        <w:rPr>
          <w:sz w:val="24"/>
          <w:szCs w:val="24"/>
        </w:rPr>
        <w:lastRenderedPageBreak/>
        <w:t>Eje 2. Derecho de Acceso a la Información</w:t>
      </w:r>
      <w:bookmarkEnd w:id="17"/>
    </w:p>
    <w:p w14:paraId="1AAAEBBF" w14:textId="77777777" w:rsidR="00E35B30" w:rsidRPr="00BA784D" w:rsidRDefault="0036612A">
      <w:pPr>
        <w:widowControl/>
        <w:spacing w:before="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Síntesis de la problemática identificada en el diagnóstico: </w:t>
      </w:r>
      <w:r w:rsidRPr="00BA784D">
        <w:rPr>
          <w:rFonts w:ascii="Times New Roman" w:eastAsia="Times New Roman" w:hAnsi="Times New Roman" w:cs="Times New Roman"/>
          <w:sz w:val="24"/>
          <w:szCs w:val="24"/>
        </w:rPr>
        <w:t>En el diagnóstico del PROTAI 2017-2021 se identificaron cinco problemáticas sobre este eje temático:</w:t>
      </w:r>
    </w:p>
    <w:p w14:paraId="2A22CF50" w14:textId="77777777" w:rsidR="00E35B30" w:rsidRPr="00BA784D" w:rsidRDefault="0036612A">
      <w:pPr>
        <w:numPr>
          <w:ilvl w:val="0"/>
          <w:numId w:val="13"/>
        </w:numPr>
        <w:spacing w:before="44"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i/>
          <w:sz w:val="24"/>
          <w:szCs w:val="24"/>
        </w:rPr>
        <w:t>Ausencia de sistematización de criterios mínimos de la interpretación del derecho, a la gestión de solicitudes y recursos de acceso a la información, y en el cumplimiento de obligaciones de transparencia, y la imposición de sanciones y medidas de apremio</w:t>
      </w:r>
      <w:r w:rsidRPr="00BA784D">
        <w:rPr>
          <w:rFonts w:ascii="Times New Roman" w:eastAsia="Times New Roman" w:hAnsi="Times New Roman" w:cs="Times New Roman"/>
          <w:sz w:val="24"/>
          <w:szCs w:val="24"/>
        </w:rPr>
        <w:t xml:space="preserve">. </w:t>
      </w:r>
    </w:p>
    <w:p w14:paraId="1477EA23" w14:textId="77777777" w:rsidR="00E35B30" w:rsidRPr="00BA784D" w:rsidRDefault="0036612A">
      <w:pPr>
        <w:numPr>
          <w:ilvl w:val="0"/>
          <w:numId w:val="13"/>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i/>
          <w:sz w:val="24"/>
          <w:szCs w:val="24"/>
        </w:rPr>
        <w:t>Insuficiencia del</w:t>
      </w:r>
      <w:r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i/>
          <w:sz w:val="24"/>
          <w:szCs w:val="24"/>
        </w:rPr>
        <w:t>seguimiento y evaluación de las actividades sobre la promoción, difusión y fomento de la cultura de acceso a la información entre la población, en el ámbito federal y estatal</w:t>
      </w:r>
      <w:r w:rsidRPr="00BA784D">
        <w:rPr>
          <w:rFonts w:ascii="Times New Roman" w:eastAsia="Times New Roman" w:hAnsi="Times New Roman" w:cs="Times New Roman"/>
          <w:sz w:val="24"/>
          <w:szCs w:val="24"/>
        </w:rPr>
        <w:t>.</w:t>
      </w:r>
    </w:p>
    <w:p w14:paraId="575DEB6C" w14:textId="77777777" w:rsidR="00E35B30" w:rsidRPr="00BA784D" w:rsidRDefault="0036612A">
      <w:pPr>
        <w:numPr>
          <w:ilvl w:val="0"/>
          <w:numId w:val="13"/>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i/>
          <w:sz w:val="24"/>
          <w:szCs w:val="24"/>
        </w:rPr>
        <w:t>Ausencia de estrategias sobre derecho de acceso a la información dirigidas a población en situación de vulnerabilidad.</w:t>
      </w:r>
      <w:r w:rsidRPr="00BA784D">
        <w:rPr>
          <w:rFonts w:ascii="Times New Roman" w:eastAsia="Times New Roman" w:hAnsi="Times New Roman" w:cs="Times New Roman"/>
          <w:sz w:val="24"/>
          <w:szCs w:val="24"/>
        </w:rPr>
        <w:t xml:space="preserve"> </w:t>
      </w:r>
    </w:p>
    <w:p w14:paraId="491D7C9B" w14:textId="77777777" w:rsidR="00E35B30" w:rsidRPr="00BA784D" w:rsidRDefault="0036612A">
      <w:pPr>
        <w:numPr>
          <w:ilvl w:val="0"/>
          <w:numId w:val="13"/>
        </w:numPr>
        <w:spacing w:before="44"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i/>
          <w:sz w:val="24"/>
          <w:szCs w:val="24"/>
        </w:rPr>
        <w:t>Insuficiencia de</w:t>
      </w:r>
      <w:r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i/>
          <w:sz w:val="24"/>
          <w:szCs w:val="24"/>
        </w:rPr>
        <w:t>procesos de coordinación e interconexión sobre sistemas informáticos para la gestión de solicitudes y recursos</w:t>
      </w:r>
      <w:r w:rsidRPr="00BA784D">
        <w:rPr>
          <w:rFonts w:ascii="Times New Roman" w:eastAsia="Times New Roman" w:hAnsi="Times New Roman" w:cs="Times New Roman"/>
          <w:sz w:val="24"/>
          <w:szCs w:val="24"/>
        </w:rPr>
        <w:t>.</w:t>
      </w:r>
    </w:p>
    <w:p w14:paraId="0B420F24" w14:textId="77777777" w:rsidR="00E35B30" w:rsidRPr="00BA784D" w:rsidRDefault="0036612A">
      <w:pPr>
        <w:numPr>
          <w:ilvl w:val="0"/>
          <w:numId w:val="13"/>
        </w:numPr>
        <w:spacing w:before="44"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i/>
          <w:sz w:val="24"/>
          <w:szCs w:val="24"/>
        </w:rPr>
        <w:t>Desconocimiento por parte de la población en relación a los procedimientos para solicitar información al gobierno</w:t>
      </w:r>
      <w:r w:rsidRPr="00BA784D">
        <w:rPr>
          <w:rFonts w:ascii="Times New Roman" w:eastAsia="Times New Roman" w:hAnsi="Times New Roman" w:cs="Times New Roman"/>
          <w:sz w:val="24"/>
          <w:szCs w:val="24"/>
        </w:rPr>
        <w:t>,</w:t>
      </w:r>
      <w:r w:rsidRPr="00BA784D">
        <w:rPr>
          <w:rFonts w:ascii="Times New Roman" w:eastAsia="Times New Roman" w:hAnsi="Times New Roman" w:cs="Times New Roman"/>
          <w:i/>
          <w:sz w:val="24"/>
          <w:szCs w:val="24"/>
        </w:rPr>
        <w:t xml:space="preserve"> así como la falta de confianza en la información gubernamental y el desconocimiento de los Organismos Garantes encargados del acceso de este derecho</w:t>
      </w:r>
      <w:r w:rsidRPr="00BA784D">
        <w:rPr>
          <w:rFonts w:ascii="Times New Roman" w:eastAsia="Times New Roman" w:hAnsi="Times New Roman" w:cs="Times New Roman"/>
          <w:sz w:val="24"/>
          <w:szCs w:val="24"/>
        </w:rPr>
        <w:t xml:space="preserve">. </w:t>
      </w:r>
    </w:p>
    <w:p w14:paraId="004BA0D6" w14:textId="77777777" w:rsidR="00E35B30" w:rsidRPr="00BA784D" w:rsidRDefault="0036612A">
      <w:pPr>
        <w:spacing w:before="44"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Aunque todas ellas presentan avances, se requiere trabajar más para generar proyectos específicos sobre el derecho de acceso a la información incluyentes para la población en situación de vulnerabilidad, disminuir brechas sociales, impulsar la accesibilidad, la inclusión con perspectiva de género; asimismo, consolidar actividades de promoción, difusión y fomento de la cultura de acceso a la información para darle un sentido de utilidad a la información gubernamental en la vida de las personas, y facilitar los procedimientos a través de los cuales la ciudadanía accede a la información e interpone recursos de revisión ante el INAI y los Organismos Garantes.</w:t>
      </w:r>
    </w:p>
    <w:p w14:paraId="7065F387" w14:textId="7F2EA067" w:rsidR="00E35B30" w:rsidRPr="00BA784D" w:rsidRDefault="0036612A">
      <w:pPr>
        <w:spacing w:before="44"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Una importante consideración sobre las líneas de acción propuestas es que no cierran la posibilidad de impulsar iniciativas específicas por parte de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sin embargo, se busca generar acciones de coordinación nacional que permitan el desarrollo de instrumentos efectivos en el desarrollo y fortalecimiento del ejercicio del DAI.</w:t>
      </w:r>
    </w:p>
    <w:p w14:paraId="3360ED6C" w14:textId="77777777" w:rsidR="00E35B30" w:rsidRPr="00BA784D" w:rsidRDefault="0036612A">
      <w:pPr>
        <w:spacing w:before="44" w:line="360" w:lineRule="auto"/>
        <w:jc w:val="both"/>
        <w:rPr>
          <w:rFonts w:ascii="Times New Roman" w:eastAsia="Times New Roman" w:hAnsi="Times New Roman" w:cs="Times New Roman"/>
          <w:b/>
          <w:i/>
          <w:sz w:val="24"/>
          <w:szCs w:val="24"/>
        </w:rPr>
      </w:pPr>
      <w:r w:rsidRPr="00BA784D">
        <w:rPr>
          <w:rFonts w:ascii="Times New Roman" w:eastAsia="Times New Roman" w:hAnsi="Times New Roman" w:cs="Times New Roman"/>
          <w:b/>
          <w:i/>
          <w:sz w:val="24"/>
          <w:szCs w:val="24"/>
        </w:rPr>
        <w:lastRenderedPageBreak/>
        <w:t>Objetivo Estratégico 2.1 Expandir el conocimiento del Derecho de Acceso a la Información Pública como herramienta para el ejercicio de otros derechos fundamentales para una sociedad más justa.</w:t>
      </w:r>
    </w:p>
    <w:p w14:paraId="28811377" w14:textId="77777777" w:rsidR="00E35B30" w:rsidRPr="00BA784D" w:rsidRDefault="0036612A">
      <w:pPr>
        <w:widowControl/>
        <w:spacing w:before="280" w:after="280"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Líneas de acción:</w:t>
      </w:r>
    </w:p>
    <w:p w14:paraId="7AD47DCA" w14:textId="3393AA31"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2.1.1-C Línea Transversal de Profesionalización y Fortalecimiento Institucional.</w:t>
      </w:r>
      <w:r w:rsidRPr="00BA784D">
        <w:rPr>
          <w:rFonts w:ascii="Times New Roman" w:eastAsia="Times New Roman" w:hAnsi="Times New Roman" w:cs="Times New Roman"/>
          <w:sz w:val="24"/>
          <w:szCs w:val="24"/>
        </w:rPr>
        <w:t xml:space="preserve"> Establecer como mecanismos de capacitación del SNT para las personas del servicio público de los sujetos obligados</w:t>
      </w:r>
      <w:r w:rsidR="00654977"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44EAAC1D" w14:textId="77777777" w:rsidR="00E35B30" w:rsidRPr="00BA784D" w:rsidRDefault="0036612A">
      <w:pPr>
        <w:widowControl/>
        <w:numPr>
          <w:ilvl w:val="0"/>
          <w:numId w:val="17"/>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La Red Nacional y Redes Locales por una cultura de la Transparencia y la Protección de Datos Personales,</w:t>
      </w:r>
    </w:p>
    <w:p w14:paraId="79D9A694" w14:textId="77777777" w:rsidR="00E35B30" w:rsidRPr="00BA784D" w:rsidRDefault="0036612A">
      <w:pPr>
        <w:widowControl/>
        <w:numPr>
          <w:ilvl w:val="0"/>
          <w:numId w:val="17"/>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El Programa de Capacitación en Transparencia, Acceso a la Información, Protección de Datos de Personales y Temas Relacionados con Alcance Nacional (PCCAN),</w:t>
      </w:r>
    </w:p>
    <w:p w14:paraId="2DD87800" w14:textId="5761A537" w:rsidR="00E35B30" w:rsidRPr="00BA784D" w:rsidRDefault="0036612A">
      <w:pPr>
        <w:widowControl/>
        <w:numPr>
          <w:ilvl w:val="0"/>
          <w:numId w:val="17"/>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El Centro Virtual de Formación en Acceso a la Información y Protección de Datos Personales</w:t>
      </w:r>
      <w:r w:rsidR="008B209A"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 xml:space="preserve"> y</w:t>
      </w:r>
    </w:p>
    <w:p w14:paraId="648051C5" w14:textId="77777777" w:rsidR="00E35B30" w:rsidRPr="00BA784D" w:rsidRDefault="0036612A">
      <w:pPr>
        <w:widowControl/>
        <w:numPr>
          <w:ilvl w:val="0"/>
          <w:numId w:val="17"/>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Otros que considere el SNT, sus integrantes, comisiones e instancias.</w:t>
      </w:r>
    </w:p>
    <w:p w14:paraId="29CDCE21" w14:textId="4859981F"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2.1.2 Consolidar la “Red Nacional por una cultura de la Transparencia y PDP” y su Programa de Capacitación en Transparencia, Acceso a la Información, Protección de Datos de Personales y Temas Relacionados con Alcance Nacional (PCCAN) como mecanismos permanentes de capacitación y colaboración entre Organismos Garantes y las personas del servicio público de los Sujetos Obligados en las materias que competen al PROTAI a fin de fortalecer la cultura del acceso a la información y la transparencia</w:t>
      </w:r>
      <w:r w:rsidR="00654977"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5769A07A" w14:textId="3F444BDE"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2.1.3 Promover el establecimiento o acciones de fortalecimiento de las Redes Locales por una cultura de la Transparencia y la PDP y sus programas de capacitación</w:t>
      </w:r>
      <w:r w:rsidR="00654977"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0A3E5605" w14:textId="5A84B04E"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2.1.4 Fortalecer y ampliar la cobertura de las herramientas de capacitación en línea del Centro Virtual de Formación en Acceso a la Información y Protección de Datos Personales y apoyar el desarrollo de otras iniciativas similares</w:t>
      </w:r>
      <w:r w:rsidR="00654977" w:rsidRPr="00BA784D">
        <w:rPr>
          <w:rFonts w:ascii="Times New Roman" w:eastAsia="Times New Roman" w:hAnsi="Times New Roman" w:cs="Times New Roman"/>
          <w:sz w:val="24"/>
          <w:szCs w:val="24"/>
        </w:rPr>
        <w:t xml:space="preserve"> (INAI)</w:t>
      </w:r>
      <w:r w:rsidRPr="00BA784D">
        <w:rPr>
          <w:rFonts w:ascii="Times New Roman" w:eastAsia="Times New Roman" w:hAnsi="Times New Roman" w:cs="Times New Roman"/>
          <w:sz w:val="24"/>
          <w:szCs w:val="24"/>
        </w:rPr>
        <w:t>.</w:t>
      </w:r>
    </w:p>
    <w:p w14:paraId="1476AE4C" w14:textId="4E2B5C28"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2.1.5-B Línea Transversal DDHH, Enfoque de Género e Inclusión Social.</w:t>
      </w:r>
      <w:r w:rsidRPr="00BA784D">
        <w:rPr>
          <w:rFonts w:ascii="Times New Roman" w:eastAsia="Times New Roman" w:hAnsi="Times New Roman" w:cs="Times New Roman"/>
          <w:sz w:val="24"/>
          <w:szCs w:val="24"/>
        </w:rPr>
        <w:t xml:space="preserve"> Propiciar la generación de alianzas y convenios con la sociedad civil, sector privado, instituciones </w:t>
      </w:r>
      <w:r w:rsidRPr="00BA784D">
        <w:rPr>
          <w:rFonts w:ascii="Times New Roman" w:eastAsia="Times New Roman" w:hAnsi="Times New Roman" w:cs="Times New Roman"/>
          <w:sz w:val="24"/>
          <w:szCs w:val="24"/>
        </w:rPr>
        <w:lastRenderedPageBreak/>
        <w:t xml:space="preserve">académicas y autoridades </w:t>
      </w:r>
      <w:r w:rsidR="001252A1" w:rsidRPr="00BA784D">
        <w:rPr>
          <w:rFonts w:ascii="Times New Roman" w:eastAsia="Times New Roman" w:hAnsi="Times New Roman" w:cs="Times New Roman"/>
          <w:sz w:val="24"/>
          <w:szCs w:val="24"/>
        </w:rPr>
        <w:t xml:space="preserve">de los tres órdenes de gobierno, incluyendo las comunitarias y aquellas </w:t>
      </w:r>
      <w:r w:rsidRPr="00BA784D">
        <w:rPr>
          <w:rFonts w:ascii="Times New Roman" w:eastAsia="Times New Roman" w:hAnsi="Times New Roman" w:cs="Times New Roman"/>
          <w:sz w:val="24"/>
          <w:szCs w:val="24"/>
        </w:rPr>
        <w:t>especializadas para que toda persona tenga a su alcance los medios apropiados a sus posibilidades para ejercer y aprovechar el DAI para el acceso a otros derechos fundamentales (salud, educación, trabajo, servicios, seguridad, justicia, libertad de expresión, igualdad, etc.) con una adecuada perspectiva de inclusión y promoción de los derechos humanos con la replicación nacional de:</w:t>
      </w:r>
      <w:r w:rsidR="00155324" w:rsidRPr="00BA784D">
        <w:rPr>
          <w:rFonts w:ascii="Times New Roman" w:eastAsia="Times New Roman" w:hAnsi="Times New Roman" w:cs="Times New Roman"/>
          <w:sz w:val="24"/>
          <w:szCs w:val="24"/>
        </w:rPr>
        <w:t xml:space="preserve"> (INAI, OGL)</w:t>
      </w:r>
    </w:p>
    <w:p w14:paraId="28096118" w14:textId="77777777" w:rsidR="00E35B30" w:rsidRPr="00BA784D" w:rsidRDefault="0036612A">
      <w:pPr>
        <w:widowControl/>
        <w:numPr>
          <w:ilvl w:val="0"/>
          <w:numId w:val="18"/>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La Red por la Utilidad Social de los Derechos de Acceso a la Información y Protección de Datos Personales (Red USOC),</w:t>
      </w:r>
    </w:p>
    <w:p w14:paraId="0ADE9423" w14:textId="77777777" w:rsidR="00E35B30" w:rsidRPr="00BA784D" w:rsidRDefault="0036612A">
      <w:pPr>
        <w:widowControl/>
        <w:numPr>
          <w:ilvl w:val="0"/>
          <w:numId w:val="18"/>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El Programa de Sensibilización de Derechos (PROSEDE),</w:t>
      </w:r>
    </w:p>
    <w:p w14:paraId="17E5C1F5" w14:textId="77777777" w:rsidR="00E35B30" w:rsidRPr="00BA784D" w:rsidRDefault="0036612A">
      <w:pPr>
        <w:widowControl/>
        <w:numPr>
          <w:ilvl w:val="0"/>
          <w:numId w:val="18"/>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La Caravana de la Transparencia y Privacidad,</w:t>
      </w:r>
    </w:p>
    <w:p w14:paraId="644E932B" w14:textId="77777777" w:rsidR="00E35B30" w:rsidRPr="00BA784D" w:rsidRDefault="0036612A">
      <w:pPr>
        <w:widowControl/>
        <w:numPr>
          <w:ilvl w:val="0"/>
          <w:numId w:val="18"/>
        </w:numPr>
        <w:spacing w:line="360" w:lineRule="auto"/>
        <w:ind w:right="4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Concursos o certámenes que fomenten el uso y valor social de la información, en coordinación con autoridades educativas para dar mayor alcance. </w:t>
      </w:r>
    </w:p>
    <w:p w14:paraId="3570B72E" w14:textId="77777777" w:rsidR="00E35B30" w:rsidRPr="00BA784D" w:rsidRDefault="0036612A">
      <w:pPr>
        <w:widowControl/>
        <w:numPr>
          <w:ilvl w:val="0"/>
          <w:numId w:val="18"/>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El Programa: “Promociona, Vincula y Acciona Tus Derechos y</w:t>
      </w:r>
    </w:p>
    <w:p w14:paraId="40304264" w14:textId="77777777" w:rsidR="00E35B30" w:rsidRPr="00BA784D" w:rsidRDefault="0036612A">
      <w:pPr>
        <w:widowControl/>
        <w:numPr>
          <w:ilvl w:val="0"/>
          <w:numId w:val="18"/>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El Plan Nacional de Socialización del Derecho de Acceso a la Información (Plan DAI)</w:t>
      </w:r>
    </w:p>
    <w:sdt>
      <w:sdtPr>
        <w:tag w:val="goog_rdk_0"/>
        <w:id w:val="273059257"/>
      </w:sdtPr>
      <w:sdtEndPr/>
      <w:sdtContent>
        <w:p w14:paraId="166FD8A3" w14:textId="77777777" w:rsidR="00E35B30" w:rsidRPr="00BA784D" w:rsidRDefault="0036612A">
          <w:pPr>
            <w:widowControl/>
            <w:numPr>
              <w:ilvl w:val="0"/>
              <w:numId w:val="18"/>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Otros que considere el SNT, sus integrantes, comisiones e instancias.</w:t>
          </w:r>
        </w:p>
      </w:sdtContent>
    </w:sdt>
    <w:p w14:paraId="5BD6A4AE" w14:textId="7DC4C150"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2.1.6-A 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 xml:space="preserve">ransversal de Promoción, Difusión y Fomento de la Cultura. </w:t>
      </w:r>
      <w:r w:rsidR="001252A1" w:rsidRPr="00BA784D">
        <w:rPr>
          <w:rFonts w:ascii="Times New Roman" w:eastAsia="Times New Roman" w:hAnsi="Times New Roman" w:cs="Times New Roman"/>
          <w:sz w:val="24"/>
          <w:szCs w:val="24"/>
        </w:rPr>
        <w:t>Fortalecer acciones de los órganos garantes</w:t>
      </w:r>
      <w:r w:rsidR="001252A1" w:rsidRPr="00BA784D">
        <w:rPr>
          <w:rFonts w:ascii="Times New Roman" w:eastAsia="Times New Roman" w:hAnsi="Times New Roman" w:cs="Times New Roman"/>
          <w:b/>
          <w:sz w:val="24"/>
          <w:szCs w:val="24"/>
        </w:rPr>
        <w:t xml:space="preserve"> </w:t>
      </w:r>
      <w:r w:rsidR="001252A1" w:rsidRPr="00BA784D">
        <w:rPr>
          <w:rFonts w:ascii="Times New Roman" w:eastAsia="Times New Roman" w:hAnsi="Times New Roman" w:cs="Times New Roman"/>
          <w:sz w:val="24"/>
          <w:szCs w:val="24"/>
        </w:rPr>
        <w:t>para el diseño de políticas públicas de transparencia y acceso a la información con perspectiva de género, derechos humanos e inclusión, para con ello a</w:t>
      </w:r>
      <w:r w:rsidRPr="00BA784D">
        <w:rPr>
          <w:rFonts w:ascii="Times New Roman" w:eastAsia="Times New Roman" w:hAnsi="Times New Roman" w:cs="Times New Roman"/>
          <w:sz w:val="24"/>
          <w:szCs w:val="24"/>
        </w:rPr>
        <w:t xml:space="preserve">ctualizar y consolidar políticas y/o acciones del Plan DAI dirigidas a ampliar y diversificar el número de personas usuarias del derecho de acceso a la información; así como formar agentes multiplicadores del DAI en sectores especializados: sociedad civil, activistas, periodistas, académicos, divulgadores, </w:t>
      </w:r>
      <w:r w:rsidRPr="00BA784D">
        <w:rPr>
          <w:rFonts w:ascii="Times New Roman" w:eastAsia="Times New Roman" w:hAnsi="Times New Roman" w:cs="Times New Roman"/>
          <w:i/>
          <w:sz w:val="24"/>
          <w:szCs w:val="24"/>
        </w:rPr>
        <w:t>influencers</w:t>
      </w:r>
      <w:r w:rsidRPr="00BA784D">
        <w:rPr>
          <w:rFonts w:ascii="Times New Roman" w:eastAsia="Times New Roman" w:hAnsi="Times New Roman" w:cs="Times New Roman"/>
          <w:sz w:val="24"/>
          <w:szCs w:val="24"/>
        </w:rPr>
        <w:t>, organizaciones (sociales, asociaciones, confederaciones, empresarios), entre otros para aumentar sus beneficios sociales derivados</w:t>
      </w:r>
      <w:r w:rsidR="00CB59ED"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54787B48" w14:textId="00391819"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2.1.7-A 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 xml:space="preserve">ransversal de Promoción, Difusión y Fomento de la Cultura. </w:t>
      </w:r>
      <w:r w:rsidRPr="00BA784D">
        <w:rPr>
          <w:rFonts w:ascii="Times New Roman" w:eastAsia="Times New Roman" w:hAnsi="Times New Roman" w:cs="Times New Roman"/>
          <w:sz w:val="24"/>
          <w:szCs w:val="24"/>
        </w:rPr>
        <w:t>Generar y difundir, de forma individual por integrante o en coordinación con las comisiones del SNT de Vinculación, Promoción, Difusión y Comunicación Social y la de Derechos Humanos, Equidad de Género e Inclusión Social</w:t>
      </w:r>
      <w:r w:rsidRPr="00BA784D">
        <w:rPr>
          <w:rFonts w:ascii="Times New Roman" w:eastAsia="Times New Roman" w:hAnsi="Times New Roman" w:cs="Times New Roman"/>
          <w:sz w:val="24"/>
          <w:szCs w:val="24"/>
          <w:vertAlign w:val="superscript"/>
        </w:rPr>
        <w:footnoteReference w:id="5"/>
      </w:r>
      <w:r w:rsidRPr="00BA784D">
        <w:rPr>
          <w:rFonts w:ascii="Times New Roman" w:eastAsia="Times New Roman" w:hAnsi="Times New Roman" w:cs="Times New Roman"/>
          <w:sz w:val="24"/>
          <w:szCs w:val="24"/>
        </w:rPr>
        <w:t xml:space="preserve">, productos (revista, folletos, </w:t>
      </w:r>
      <w:r w:rsidRPr="00BA784D">
        <w:rPr>
          <w:rFonts w:ascii="Times New Roman" w:eastAsia="Times New Roman" w:hAnsi="Times New Roman" w:cs="Times New Roman"/>
          <w:sz w:val="24"/>
          <w:szCs w:val="24"/>
        </w:rPr>
        <w:lastRenderedPageBreak/>
        <w:t>historietas, etc.), materiales (infografías, videos, textos, etc.) y herramientas (redes sociales, canales de video, portal SNT, etc.) de comunicación que incorporen los principios de igualdad y no discriminación sobre el acceso a la información pública y la transparencia en sus diferentes aspectos, ajustables por cada integrante del SNT y los sujetos obligados; considerando el diseño y establecimiento de mecanismos de monitoreo, seguimiento y evaluación para las acciones de promoción y difusión emprendidas desde el SNT</w:t>
      </w:r>
      <w:r w:rsidR="00CB59ED"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2D1E4B5B" w14:textId="77777777"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i/>
          <w:sz w:val="24"/>
          <w:szCs w:val="24"/>
        </w:rPr>
      </w:pPr>
      <w:r w:rsidRPr="00BA784D">
        <w:rPr>
          <w:rFonts w:ascii="Times New Roman" w:eastAsia="Times New Roman" w:hAnsi="Times New Roman" w:cs="Times New Roman"/>
          <w:i/>
          <w:sz w:val="24"/>
          <w:szCs w:val="24"/>
        </w:rPr>
        <w:tab/>
        <w:t>Esta línea de acción se replica en materia de Archivos (1.1.6-A), Estado Abierto (3.1.4-A), Gobierno Digital (3.2.6-A), Transparencia Proactiva (3.3.8-A), uso del SIPOT (3.4.1-A), Datos Abiertos (3.5.8-A), Anticorrupción (4.1.13-A) y resoluciones de recursos de revisión socialmente relevantes (5.1.10-A).</w:t>
      </w:r>
    </w:p>
    <w:p w14:paraId="7E3D9F7F" w14:textId="02BD3D36"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2.1.8-C Línea Transversal de Profesionalización y Fortalecimiento Institucional.</w:t>
      </w:r>
      <w:r w:rsidRPr="00BA784D">
        <w:rPr>
          <w:rFonts w:ascii="Times New Roman" w:eastAsia="Times New Roman" w:hAnsi="Times New Roman" w:cs="Times New Roman"/>
          <w:sz w:val="24"/>
          <w:szCs w:val="24"/>
        </w:rPr>
        <w:t xml:space="preserve"> Impulsar el desarrollo y establecimiento de cursos, diplomados, certificaciones o posgrados en materia de acceso a la información y transparencia con Universidades, autoridades educativas de todos los niveles y Organismos Garantes</w:t>
      </w:r>
      <w:r w:rsidR="00CB59ED"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1D1CC93E" w14:textId="593B789F"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2.1.9 Expandir el trabajo del Centro de Atención a la Sociedad (CAS) de forma nacional para beneficio de la ciudadanía en el ejercicio y goce del derecho de acceso a la información pública</w:t>
      </w:r>
      <w:r w:rsidR="00CB59ED" w:rsidRPr="00BA784D">
        <w:rPr>
          <w:rFonts w:ascii="Times New Roman" w:eastAsia="Times New Roman" w:hAnsi="Times New Roman" w:cs="Times New Roman"/>
          <w:sz w:val="24"/>
          <w:szCs w:val="24"/>
        </w:rPr>
        <w:t xml:space="preserve"> (INAI)</w:t>
      </w:r>
      <w:r w:rsidRPr="00BA784D">
        <w:rPr>
          <w:rFonts w:ascii="Times New Roman" w:eastAsia="Times New Roman" w:hAnsi="Times New Roman" w:cs="Times New Roman"/>
          <w:sz w:val="24"/>
          <w:szCs w:val="24"/>
        </w:rPr>
        <w:t xml:space="preserve">. </w:t>
      </w:r>
    </w:p>
    <w:p w14:paraId="74611DF8" w14:textId="32AB71E4"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2.1.10-C Línea Transversal de Profesionalización y Fortalecimiento Institucional.</w:t>
      </w:r>
      <w:r w:rsidRPr="00BA784D">
        <w:rPr>
          <w:rFonts w:ascii="Times New Roman" w:eastAsia="Times New Roman" w:hAnsi="Times New Roman" w:cs="Times New Roman"/>
          <w:sz w:val="24"/>
          <w:szCs w:val="24"/>
        </w:rPr>
        <w:t xml:space="preserve"> Implementar un modelo de planeación y seguimiento de resultados institucionales de los Organismos Garantes</w:t>
      </w:r>
      <w:r w:rsidR="00C45C4A" w:rsidRPr="00BA784D">
        <w:rPr>
          <w:rFonts w:ascii="Times New Roman" w:eastAsia="Times New Roman" w:hAnsi="Times New Roman" w:cs="Times New Roman"/>
          <w:sz w:val="24"/>
          <w:szCs w:val="24"/>
        </w:rPr>
        <w:t>, acorde a sus capacidades financieras, materiales y humanas</w:t>
      </w:r>
      <w:r w:rsidRPr="00BA784D">
        <w:rPr>
          <w:rFonts w:ascii="Times New Roman" w:eastAsia="Times New Roman" w:hAnsi="Times New Roman" w:cs="Times New Roman"/>
          <w:sz w:val="24"/>
          <w:szCs w:val="24"/>
        </w:rPr>
        <w:t xml:space="preserve"> para aumentar la eficacia de los recursos y capacidades destinados a las materias que competen al PROTAI, en especial para promover el ejercicio y garantía del DAI</w:t>
      </w:r>
      <w:r w:rsidR="00D3540D"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4CC7BA1D" w14:textId="4D4A9DE2"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2.1.11 Generar reportes estadísticos sobre los principales aspectos del ejercicio del Derecho de Acceso a la Información (se propone usar como base el Índice de Respuestas a Solicitudes de Información Pública y el Índice de Desempeño de las Unidades de Transparencia)</w:t>
      </w:r>
      <w:r w:rsidR="007F732D"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 xml:space="preserve"> </w:t>
      </w:r>
      <w:r w:rsidR="00D3540D" w:rsidRPr="00BA784D">
        <w:rPr>
          <w:rFonts w:ascii="Times New Roman" w:eastAsia="Times New Roman" w:hAnsi="Times New Roman" w:cs="Times New Roman"/>
          <w:sz w:val="24"/>
          <w:szCs w:val="24"/>
        </w:rPr>
        <w:t>(INAI, OGL)</w:t>
      </w:r>
      <w:r w:rsidRPr="00BA784D">
        <w:rPr>
          <w:rFonts w:ascii="Times New Roman" w:eastAsia="Times New Roman" w:hAnsi="Times New Roman" w:cs="Times New Roman"/>
          <w:sz w:val="24"/>
          <w:szCs w:val="24"/>
        </w:rPr>
        <w:t>.</w:t>
      </w:r>
    </w:p>
    <w:p w14:paraId="253BD0AA" w14:textId="03302FCB"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2.1.12-C Línea Transversal de Profesionalización y Fortalecimiento Institucional:</w:t>
      </w:r>
      <w:r w:rsidRPr="00BA784D">
        <w:rPr>
          <w:rFonts w:ascii="Times New Roman" w:eastAsia="Times New Roman" w:hAnsi="Times New Roman" w:cs="Times New Roman"/>
          <w:sz w:val="24"/>
          <w:szCs w:val="24"/>
        </w:rPr>
        <w:t xml:space="preserve"> Diseñar mecanismos de selección y reclutamiento de personal a partir de perfiles de </w:t>
      </w:r>
      <w:r w:rsidRPr="00BA784D">
        <w:rPr>
          <w:rFonts w:ascii="Times New Roman" w:eastAsia="Times New Roman" w:hAnsi="Times New Roman" w:cs="Times New Roman"/>
          <w:sz w:val="24"/>
          <w:szCs w:val="24"/>
        </w:rPr>
        <w:lastRenderedPageBreak/>
        <w:t>puestos actualizados y diseñados curricularmente para cubrir las necesidades en materia del DAI</w:t>
      </w:r>
      <w:r w:rsidR="00D3540D"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02C0D357" w14:textId="44B4A96E"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color w:val="C00000"/>
          <w:sz w:val="24"/>
          <w:szCs w:val="24"/>
        </w:rPr>
      </w:pPr>
      <w:r w:rsidRPr="00BA784D">
        <w:rPr>
          <w:rFonts w:ascii="Times New Roman" w:eastAsia="Times New Roman" w:hAnsi="Times New Roman" w:cs="Times New Roman"/>
          <w:sz w:val="24"/>
          <w:szCs w:val="24"/>
        </w:rPr>
        <w:t>2.1.13 Realizar acciones de acompañamiento y asesoría con Unidades y Comités de Transparencia de los sujetos obligados, a partir de su priorización por temáticas de las solicitudes de información recibidas y sectorización por relevancia social, a partir de lo dispuesto en Catálogo de Sujetos Obligados y el Catálogo de Clasificación Temática de Solicitudes de Información</w:t>
      </w:r>
      <w:r w:rsidRPr="00BA784D">
        <w:rPr>
          <w:rFonts w:ascii="Times New Roman" w:eastAsia="Times New Roman" w:hAnsi="Times New Roman" w:cs="Times New Roman"/>
          <w:sz w:val="24"/>
          <w:szCs w:val="24"/>
          <w:vertAlign w:val="superscript"/>
        </w:rPr>
        <w:footnoteReference w:id="6"/>
      </w:r>
      <w:r w:rsidR="00053AA8"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3A787251" w14:textId="395847E1"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2.1.14 Consolidar la presencia del INAI y el SNT en las redes internacionales, así como su incidencia en los foros especializados y eventos institucionales con componente internacional a fin de mantener a la vanguardia la PDP en México</w:t>
      </w:r>
      <w:r w:rsidR="00053AA8" w:rsidRPr="00BA784D">
        <w:rPr>
          <w:rFonts w:ascii="Times New Roman" w:eastAsia="Times New Roman" w:hAnsi="Times New Roman" w:cs="Times New Roman"/>
          <w:sz w:val="24"/>
          <w:szCs w:val="24"/>
        </w:rPr>
        <w:t xml:space="preserve"> (INAI)</w:t>
      </w:r>
      <w:r w:rsidRPr="00BA784D">
        <w:rPr>
          <w:rFonts w:ascii="Times New Roman" w:eastAsia="Times New Roman" w:hAnsi="Times New Roman" w:cs="Times New Roman"/>
          <w:sz w:val="24"/>
          <w:szCs w:val="24"/>
        </w:rPr>
        <w:t>.</w:t>
      </w:r>
    </w:p>
    <w:p w14:paraId="39C672BB" w14:textId="7043BC6E"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2.1.15 Desarrollar estrategias de educación cívica y/o iniciativas que permitan la inclusión de las temáticas de acceso a la información y transparencia gubernamental en los programas y planes de estudio, libros y materiales que se utilicen en las instituciones educativas de los distintos niveles (incluyendo especialistas)</w:t>
      </w:r>
      <w:r w:rsidR="00F3187F"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0D2C5098" w14:textId="6D54035E"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2.1.16 Elaborar y publicar estudios e investigaciones para difundir y ampliar el conocimiento sobre acceso a la información, la transparencia gubernamental, la rendición de cuentas y sus repercusiones sociales</w:t>
      </w:r>
      <w:r w:rsidR="00F3187F"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781C96D4" w14:textId="403D5DC8"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2.1.17 Realización de eventos de análisis, exposiciones o retos públicos sobre el acceso a la información y transparencia gubernamental en sus diferentes facetas, así como para promover la igualdad y no discriminación en el ejercicio del DAI; se recomienda que estén enfocados a crear alianzas y ampliar redes de conocimiento, a fin de que incluir sujetos obligados, centros educativos u organizaciones de la sociedad civil diversas a los colaboradores habituales</w:t>
      </w:r>
      <w:r w:rsidRPr="00BA784D">
        <w:rPr>
          <w:rFonts w:ascii="Times New Roman" w:eastAsia="Times New Roman" w:hAnsi="Times New Roman" w:cs="Times New Roman"/>
          <w:sz w:val="24"/>
          <w:szCs w:val="24"/>
          <w:vertAlign w:val="superscript"/>
        </w:rPr>
        <w:footnoteReference w:id="7"/>
      </w:r>
      <w:r w:rsidR="00F3187F" w:rsidRPr="00BA784D">
        <w:rPr>
          <w:rFonts w:ascii="Times New Roman" w:eastAsia="Times New Roman" w:hAnsi="Times New Roman" w:cs="Times New Roman"/>
          <w:sz w:val="24"/>
          <w:szCs w:val="24"/>
        </w:rPr>
        <w:t>(INAI, OGL)</w:t>
      </w:r>
      <w:r w:rsidRPr="00BA784D">
        <w:rPr>
          <w:rFonts w:ascii="Times New Roman" w:eastAsia="Times New Roman" w:hAnsi="Times New Roman" w:cs="Times New Roman"/>
          <w:sz w:val="24"/>
          <w:szCs w:val="24"/>
        </w:rPr>
        <w:t>.</w:t>
      </w:r>
    </w:p>
    <w:p w14:paraId="7BD34B62" w14:textId="0ECD80AB"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2.1.18 Analizar el cumplimiento de los Lineamientos emitidos por el SNT en atención a la LGTAIP e identificar áreas de oportunidad para su mejora regulatoria conforme a la estrategia de implementación y seguimiento normativo del SNT acordada por el </w:t>
      </w:r>
      <w:r w:rsidRPr="00BA784D">
        <w:rPr>
          <w:rFonts w:ascii="Times New Roman" w:eastAsia="Times New Roman" w:hAnsi="Times New Roman" w:cs="Times New Roman"/>
          <w:sz w:val="24"/>
          <w:szCs w:val="24"/>
        </w:rPr>
        <w:lastRenderedPageBreak/>
        <w:t>Consejo Nacional en atención a las consideraciones en la materia del Sistema Nacional de Mejora Regulatoria</w:t>
      </w:r>
      <w:r w:rsidR="00F3187F"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73FFDEEB" w14:textId="72323041"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2.1.19 Establecer estrategias para el posicionamiento de los Organismos Garantes como piezas clave en el ejercicio y garantía del Derecho de Acceso a la Información por medio de casos de éxito</w:t>
      </w:r>
      <w:r w:rsidR="00F3187F"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3A17C200" w14:textId="61D53E21"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2.1.20 Propiciar la generación de alianzas y convenios con medios de comunicación públicos y privados (en particular internet, radio y televisión), así como realizar su seguimiento y valoración de resultados, para promover y dar a conocer los mecanismos de ejercicio y garantía del DAI y cómo puede ser útil para el ejercicio de otros derechos fundamentales (salud, educación, trabajo, servicios, seguridad, justicia, libertad de expresión, igualdad, etc.) con perspectiva de inclusión y promoción de los derechos humanos</w:t>
      </w:r>
      <w:r w:rsidR="00F3187F"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3C7A51BE" w14:textId="295E1847"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2.1.21-B</w:t>
      </w:r>
      <w:r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b/>
          <w:sz w:val="24"/>
          <w:szCs w:val="24"/>
        </w:rPr>
        <w:t>Línea Transversal DDHH, Enfoque de Género e Inclusión Social.</w:t>
      </w:r>
      <w:r w:rsidRPr="00BA784D">
        <w:rPr>
          <w:rFonts w:ascii="Times New Roman" w:eastAsia="Times New Roman" w:hAnsi="Times New Roman" w:cs="Times New Roman"/>
          <w:sz w:val="24"/>
          <w:szCs w:val="24"/>
        </w:rPr>
        <w:t xml:space="preserve"> Identificar información básica de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o de Sujetos Obligados que sea de utilidad social para pueblos y comunidades indígenas, así como desarrollar e implementar un programa piloto de traducción y difusión de dicha información, de la difusión de las leyes y documentos traducidos en lenguas indígenas que faciliten el conocimiento y ejercicio del DAI y su aplicación concreta en la vida de las comunidades y personas</w:t>
      </w:r>
      <w:r w:rsidR="00F3187F"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5A9A306B" w14:textId="0C53D79D" w:rsidR="00A70593" w:rsidRPr="00BA784D" w:rsidRDefault="00A70593">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2.1.22-C </w:t>
      </w:r>
      <w:r w:rsidRPr="00BA784D">
        <w:rPr>
          <w:rFonts w:ascii="Times New Roman" w:eastAsia="Times New Roman" w:hAnsi="Times New Roman" w:cs="Times New Roman"/>
          <w:b/>
          <w:bCs/>
          <w:sz w:val="24"/>
          <w:szCs w:val="24"/>
        </w:rPr>
        <w:t>Línea Transversal de Profesionalización y Fortalecimiento Institucional.</w:t>
      </w:r>
      <w:r w:rsidRPr="00BA784D">
        <w:rPr>
          <w:rFonts w:ascii="Times New Roman" w:eastAsia="Times New Roman" w:hAnsi="Times New Roman" w:cs="Times New Roman"/>
          <w:sz w:val="24"/>
          <w:szCs w:val="24"/>
        </w:rPr>
        <w:t xml:space="preserve"> </w:t>
      </w:r>
      <w:r w:rsidR="00F679C8" w:rsidRPr="00BA784D">
        <w:rPr>
          <w:rFonts w:ascii="Times New Roman" w:eastAsia="Times New Roman" w:hAnsi="Times New Roman" w:cs="Times New Roman"/>
          <w:sz w:val="24"/>
          <w:szCs w:val="24"/>
        </w:rPr>
        <w:t>E</w:t>
      </w:r>
      <w:r w:rsidR="005A24AE" w:rsidRPr="00BA784D">
        <w:rPr>
          <w:rFonts w:ascii="Times New Roman" w:eastAsia="Times New Roman" w:hAnsi="Times New Roman" w:cs="Times New Roman"/>
          <w:sz w:val="24"/>
          <w:szCs w:val="24"/>
        </w:rPr>
        <w:t>stablecer normas y procedimientos que sienten las bases para la organización, funcionamiento y desarrollo de un Sistema de</w:t>
      </w:r>
      <w:r w:rsidR="00F679C8" w:rsidRPr="00BA784D">
        <w:rPr>
          <w:rFonts w:ascii="Times New Roman" w:eastAsia="Times New Roman" w:hAnsi="Times New Roman" w:cs="Times New Roman"/>
          <w:sz w:val="24"/>
          <w:szCs w:val="24"/>
        </w:rPr>
        <w:t xml:space="preserve"> </w:t>
      </w:r>
      <w:r w:rsidR="005A24AE" w:rsidRPr="00BA784D">
        <w:rPr>
          <w:rFonts w:ascii="Times New Roman" w:eastAsia="Times New Roman" w:hAnsi="Times New Roman" w:cs="Times New Roman"/>
          <w:sz w:val="24"/>
          <w:szCs w:val="24"/>
        </w:rPr>
        <w:t>S</w:t>
      </w:r>
      <w:r w:rsidRPr="00BA784D">
        <w:rPr>
          <w:rFonts w:ascii="Times New Roman" w:eastAsia="Times New Roman" w:hAnsi="Times New Roman" w:cs="Times New Roman"/>
          <w:sz w:val="24"/>
          <w:szCs w:val="24"/>
        </w:rPr>
        <w:t xml:space="preserve">ervicio </w:t>
      </w:r>
      <w:r w:rsidR="005A24AE" w:rsidRPr="00BA784D">
        <w:rPr>
          <w:rFonts w:ascii="Times New Roman" w:eastAsia="Times New Roman" w:hAnsi="Times New Roman" w:cs="Times New Roman"/>
          <w:sz w:val="24"/>
          <w:szCs w:val="24"/>
        </w:rPr>
        <w:t>P</w:t>
      </w:r>
      <w:r w:rsidRPr="00BA784D">
        <w:rPr>
          <w:rFonts w:ascii="Times New Roman" w:eastAsia="Times New Roman" w:hAnsi="Times New Roman" w:cs="Times New Roman"/>
          <w:sz w:val="24"/>
          <w:szCs w:val="24"/>
        </w:rPr>
        <w:t xml:space="preserve">rofesional de </w:t>
      </w:r>
      <w:r w:rsidR="005A24AE" w:rsidRPr="00BA784D">
        <w:rPr>
          <w:rFonts w:ascii="Times New Roman" w:eastAsia="Times New Roman" w:hAnsi="Times New Roman" w:cs="Times New Roman"/>
          <w:sz w:val="24"/>
          <w:szCs w:val="24"/>
        </w:rPr>
        <w:t>C</w:t>
      </w:r>
      <w:r w:rsidRPr="00BA784D">
        <w:rPr>
          <w:rFonts w:ascii="Times New Roman" w:eastAsia="Times New Roman" w:hAnsi="Times New Roman" w:cs="Times New Roman"/>
          <w:sz w:val="24"/>
          <w:szCs w:val="24"/>
        </w:rPr>
        <w:t>arrera o equivalente en los Organismos Garantes</w:t>
      </w:r>
      <w:r w:rsidR="005A24AE" w:rsidRPr="00BA784D">
        <w:rPr>
          <w:rFonts w:ascii="Times New Roman" w:eastAsia="Times New Roman" w:hAnsi="Times New Roman" w:cs="Times New Roman"/>
          <w:sz w:val="24"/>
          <w:szCs w:val="24"/>
        </w:rPr>
        <w:t xml:space="preserve"> que garantice la capacitación, profesionalización y especialización de sus servidoras y</w:t>
      </w:r>
      <w:r w:rsidRPr="00BA784D">
        <w:rPr>
          <w:rFonts w:ascii="Times New Roman" w:eastAsia="Times New Roman" w:hAnsi="Times New Roman" w:cs="Times New Roman"/>
          <w:sz w:val="24"/>
          <w:szCs w:val="24"/>
        </w:rPr>
        <w:t xml:space="preserve"> servidores públicos, </w:t>
      </w:r>
      <w:r w:rsidR="005A24AE" w:rsidRPr="00BA784D">
        <w:rPr>
          <w:rFonts w:ascii="Times New Roman" w:eastAsia="Times New Roman" w:hAnsi="Times New Roman" w:cs="Times New Roman"/>
          <w:sz w:val="24"/>
          <w:szCs w:val="24"/>
        </w:rPr>
        <w:t xml:space="preserve">para fortalecer así </w:t>
      </w:r>
      <w:r w:rsidR="00F679C8" w:rsidRPr="00BA784D">
        <w:rPr>
          <w:rFonts w:ascii="Times New Roman" w:eastAsia="Times New Roman" w:hAnsi="Times New Roman" w:cs="Times New Roman"/>
          <w:sz w:val="24"/>
          <w:szCs w:val="24"/>
        </w:rPr>
        <w:t>la garantía del DAI</w:t>
      </w:r>
      <w:r w:rsidR="00F3187F" w:rsidRPr="00BA784D">
        <w:rPr>
          <w:rFonts w:ascii="Times New Roman" w:eastAsia="Times New Roman" w:hAnsi="Times New Roman" w:cs="Times New Roman"/>
          <w:sz w:val="24"/>
          <w:szCs w:val="24"/>
        </w:rPr>
        <w:t xml:space="preserve"> (INAI, OGL)</w:t>
      </w:r>
      <w:r w:rsidR="00F679C8" w:rsidRPr="00BA784D">
        <w:rPr>
          <w:rFonts w:ascii="Times New Roman" w:eastAsia="Times New Roman" w:hAnsi="Times New Roman" w:cs="Times New Roman"/>
          <w:sz w:val="24"/>
          <w:szCs w:val="24"/>
        </w:rPr>
        <w:t xml:space="preserve">. </w:t>
      </w:r>
    </w:p>
    <w:p w14:paraId="7DB8CFCA" w14:textId="7B88C0F2" w:rsidR="00A75300" w:rsidRDefault="00E551AD" w:rsidP="00116C84">
      <w:pPr>
        <w:keepNext/>
        <w:keepLines/>
        <w:widowControl/>
        <w:pBdr>
          <w:top w:val="nil"/>
          <w:left w:val="nil"/>
          <w:bottom w:val="nil"/>
          <w:right w:val="nil"/>
          <w:between w:val="nil"/>
        </w:pBdr>
        <w:spacing w:before="240" w:line="360" w:lineRule="auto"/>
        <w:ind w:left="851" w:hanging="851"/>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 xml:space="preserve">2.1.23-B </w:t>
      </w:r>
      <w:r w:rsidRPr="00BA784D">
        <w:rPr>
          <w:rFonts w:ascii="Times New Roman" w:eastAsia="Times New Roman" w:hAnsi="Times New Roman" w:cs="Times New Roman"/>
          <w:b/>
          <w:sz w:val="24"/>
          <w:szCs w:val="24"/>
        </w:rPr>
        <w:t>Línea Transversal DDHH, Enfoque de Género e Inclusión Social.</w:t>
      </w:r>
      <w:r w:rsidR="00A75300">
        <w:rPr>
          <w:rFonts w:ascii="Times New Roman" w:eastAsia="Times New Roman" w:hAnsi="Times New Roman" w:cs="Times New Roman"/>
          <w:b/>
          <w:sz w:val="24"/>
          <w:szCs w:val="24"/>
        </w:rPr>
        <w:t xml:space="preserve"> </w:t>
      </w:r>
      <w:r w:rsidRPr="00BA784D">
        <w:rPr>
          <w:rFonts w:ascii="Times New Roman" w:eastAsia="Times New Roman" w:hAnsi="Times New Roman" w:cs="Times New Roman"/>
          <w:sz w:val="24"/>
          <w:szCs w:val="24"/>
        </w:rPr>
        <w:t xml:space="preserve">Implementar </w:t>
      </w:r>
      <w:r w:rsidR="00D2261F" w:rsidRPr="00BA784D">
        <w:rPr>
          <w:rFonts w:ascii="Times New Roman" w:eastAsia="Times New Roman" w:hAnsi="Times New Roman" w:cs="Times New Roman"/>
          <w:sz w:val="24"/>
          <w:szCs w:val="24"/>
        </w:rPr>
        <w:t xml:space="preserve">por parte de los Organismos Garantes instrumentos orientadores </w:t>
      </w:r>
      <w:r w:rsidRPr="00BA784D">
        <w:rPr>
          <w:rFonts w:ascii="Times New Roman" w:eastAsia="Times New Roman" w:hAnsi="Times New Roman" w:cs="Times New Roman"/>
          <w:sz w:val="24"/>
          <w:szCs w:val="24"/>
        </w:rPr>
        <w:t xml:space="preserve">para el </w:t>
      </w:r>
      <w:r w:rsidR="00D2261F" w:rsidRPr="00BA784D">
        <w:rPr>
          <w:rFonts w:ascii="Times New Roman" w:eastAsia="Times New Roman" w:hAnsi="Times New Roman" w:cs="Times New Roman"/>
          <w:sz w:val="24"/>
          <w:szCs w:val="24"/>
        </w:rPr>
        <w:t>f</w:t>
      </w:r>
      <w:r w:rsidRPr="00BA784D">
        <w:rPr>
          <w:rFonts w:ascii="Times New Roman" w:eastAsia="Times New Roman" w:hAnsi="Times New Roman" w:cs="Times New Roman"/>
          <w:sz w:val="24"/>
          <w:szCs w:val="24"/>
        </w:rPr>
        <w:t>ortalecimiento del Enfoque de Derechos Humanos, Igualdad de Género e Inclusión Social emitido</w:t>
      </w:r>
      <w:r w:rsidR="00D2261F" w:rsidRPr="00BA784D">
        <w:rPr>
          <w:rFonts w:ascii="Times New Roman" w:eastAsia="Times New Roman" w:hAnsi="Times New Roman" w:cs="Times New Roman"/>
          <w:sz w:val="24"/>
          <w:szCs w:val="24"/>
        </w:rPr>
        <w:t>s</w:t>
      </w:r>
      <w:r w:rsidRPr="00BA784D">
        <w:rPr>
          <w:rFonts w:ascii="Times New Roman" w:eastAsia="Times New Roman" w:hAnsi="Times New Roman" w:cs="Times New Roman"/>
          <w:sz w:val="24"/>
          <w:szCs w:val="24"/>
        </w:rPr>
        <w:t xml:space="preserve"> por </w:t>
      </w:r>
      <w:r w:rsidR="00CF47CF" w:rsidRPr="00BA784D">
        <w:rPr>
          <w:rFonts w:ascii="Times New Roman" w:eastAsia="Times New Roman" w:hAnsi="Times New Roman" w:cs="Times New Roman"/>
          <w:sz w:val="24"/>
          <w:szCs w:val="24"/>
        </w:rPr>
        <w:t xml:space="preserve">el </w:t>
      </w:r>
      <w:r w:rsidR="00D2261F" w:rsidRPr="00BA784D">
        <w:rPr>
          <w:rFonts w:ascii="Times New Roman" w:eastAsia="Times New Roman" w:hAnsi="Times New Roman" w:cs="Times New Roman"/>
          <w:sz w:val="24"/>
          <w:szCs w:val="24"/>
        </w:rPr>
        <w:t>SNT o por sus Instancias</w:t>
      </w:r>
      <w:r w:rsidR="00F3187F" w:rsidRPr="00BA784D">
        <w:rPr>
          <w:rFonts w:ascii="Times New Roman" w:eastAsia="Times New Roman" w:hAnsi="Times New Roman" w:cs="Times New Roman"/>
          <w:sz w:val="24"/>
          <w:szCs w:val="24"/>
        </w:rPr>
        <w:t xml:space="preserve"> (INAI, OGL)</w:t>
      </w:r>
      <w:r w:rsidR="00CF47CF" w:rsidRPr="00BA784D">
        <w:rPr>
          <w:rFonts w:ascii="Times New Roman" w:eastAsia="Times New Roman" w:hAnsi="Times New Roman" w:cs="Times New Roman"/>
          <w:sz w:val="24"/>
          <w:szCs w:val="24"/>
        </w:rPr>
        <w:t xml:space="preserve">. </w:t>
      </w:r>
    </w:p>
    <w:p w14:paraId="3B9EB466" w14:textId="23D6AD08" w:rsidR="00E35B30" w:rsidRPr="00BA784D" w:rsidRDefault="0036612A">
      <w:pPr>
        <w:keepNext/>
        <w:keepLines/>
        <w:widowControl/>
        <w:pBdr>
          <w:top w:val="nil"/>
          <w:left w:val="nil"/>
          <w:bottom w:val="nil"/>
          <w:right w:val="nil"/>
          <w:between w:val="nil"/>
        </w:pBdr>
        <w:spacing w:before="240"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Estrategias:</w:t>
      </w:r>
      <w:r w:rsidRPr="00BA784D">
        <w:rPr>
          <w:rFonts w:ascii="Times New Roman" w:eastAsia="Times New Roman" w:hAnsi="Times New Roman" w:cs="Times New Roman"/>
          <w:sz w:val="24"/>
          <w:szCs w:val="24"/>
        </w:rPr>
        <w:t xml:space="preserve"> </w:t>
      </w:r>
    </w:p>
    <w:p w14:paraId="527B86BE" w14:textId="77777777" w:rsidR="00E35B30" w:rsidRPr="00BA784D" w:rsidRDefault="0036612A">
      <w:pPr>
        <w:widowControl/>
        <w:numPr>
          <w:ilvl w:val="0"/>
          <w:numId w:val="20"/>
        </w:numPr>
        <w:spacing w:before="280"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 xml:space="preserve">Socialización: </w:t>
      </w:r>
      <w:r w:rsidRPr="00BA784D">
        <w:rPr>
          <w:rFonts w:ascii="Times New Roman" w:eastAsia="Times New Roman" w:hAnsi="Times New Roman" w:cs="Times New Roman"/>
          <w:sz w:val="24"/>
          <w:szCs w:val="24"/>
        </w:rPr>
        <w:t xml:space="preserve">Establecimiento y desarrollo de instrumentos del SNT. Además de alianzas, convenios e iniciativas con instituciones, organizaciones y personas. </w:t>
      </w:r>
    </w:p>
    <w:p w14:paraId="67ED111F"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Coordinación:</w:t>
      </w:r>
      <w:r w:rsidRPr="00BA784D">
        <w:rPr>
          <w:rFonts w:ascii="Times New Roman" w:eastAsia="Times New Roman" w:hAnsi="Times New Roman" w:cs="Times New Roman"/>
          <w:sz w:val="24"/>
          <w:szCs w:val="24"/>
        </w:rPr>
        <w:t xml:space="preserve"> Vinculación con INEGI y Comisiones del SNT.</w:t>
      </w:r>
    </w:p>
    <w:p w14:paraId="0CB6B3E6"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Capacitación: </w:t>
      </w:r>
      <w:r w:rsidRPr="00BA784D">
        <w:rPr>
          <w:rFonts w:ascii="Times New Roman" w:eastAsia="Times New Roman" w:hAnsi="Times New Roman" w:cs="Times New Roman"/>
          <w:sz w:val="24"/>
          <w:szCs w:val="24"/>
        </w:rPr>
        <w:t>Establecimiento y desarrollo de instrumentos del SNT</w:t>
      </w:r>
    </w:p>
    <w:p w14:paraId="582025AB"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PNT y TICs: </w:t>
      </w:r>
      <w:r w:rsidRPr="00BA784D">
        <w:rPr>
          <w:rFonts w:ascii="Times New Roman" w:eastAsia="Times New Roman" w:hAnsi="Times New Roman" w:cs="Times New Roman"/>
          <w:sz w:val="24"/>
          <w:szCs w:val="24"/>
        </w:rPr>
        <w:t>Difusión, socialización y capacitación del uso de la PNT</w:t>
      </w:r>
    </w:p>
    <w:p w14:paraId="6451E3EA"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Mejora Regulatoria: </w:t>
      </w:r>
      <w:r w:rsidRPr="00BA784D">
        <w:rPr>
          <w:rFonts w:ascii="Times New Roman" w:eastAsia="Times New Roman" w:hAnsi="Times New Roman" w:cs="Times New Roman"/>
          <w:sz w:val="24"/>
          <w:szCs w:val="24"/>
        </w:rPr>
        <w:t xml:space="preserve">Identificar áreas de oportunidad en normatividad emitida conforme a la estrategia de implementación y seguimiento normativo del SNT </w:t>
      </w:r>
    </w:p>
    <w:p w14:paraId="34A17D32"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Inclusión:</w:t>
      </w:r>
      <w:r w:rsidRPr="00BA784D">
        <w:rPr>
          <w:rFonts w:ascii="Times New Roman" w:eastAsia="Times New Roman" w:hAnsi="Times New Roman" w:cs="Times New Roman"/>
          <w:sz w:val="24"/>
          <w:szCs w:val="24"/>
        </w:rPr>
        <w:t xml:space="preserve"> Emprender acciones, alianzas y convenios con instituciones, organizaciones y personas en situación de vulnerabilidad.</w:t>
      </w:r>
    </w:p>
    <w:p w14:paraId="324CC44D" w14:textId="77777777" w:rsidR="00E35B30" w:rsidRPr="00BA784D" w:rsidRDefault="0036612A">
      <w:pPr>
        <w:keepNext/>
        <w:keepLines/>
        <w:widowControl/>
        <w:numPr>
          <w:ilvl w:val="0"/>
          <w:numId w:val="20"/>
        </w:numPr>
        <w:pBdr>
          <w:top w:val="nil"/>
          <w:left w:val="nil"/>
          <w:bottom w:val="nil"/>
          <w:right w:val="nil"/>
          <w:between w:val="nil"/>
        </w:pBd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Comunicación: </w:t>
      </w:r>
      <w:r w:rsidRPr="00BA784D">
        <w:rPr>
          <w:rFonts w:ascii="Times New Roman" w:eastAsia="Times New Roman" w:hAnsi="Times New Roman" w:cs="Times New Roman"/>
          <w:sz w:val="24"/>
          <w:szCs w:val="24"/>
        </w:rPr>
        <w:t>Acciones coordinadas y evaluadas a nivel nacional y ajustables localmente a las necesidades de Organismos Garantes y Sujetos Obligados.</w:t>
      </w:r>
    </w:p>
    <w:p w14:paraId="46138F58" w14:textId="77777777"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Indicador de Resultado: </w:t>
      </w:r>
      <w:r w:rsidRPr="00BA784D">
        <w:rPr>
          <w:rFonts w:ascii="Times New Roman" w:eastAsia="Times New Roman" w:hAnsi="Times New Roman" w:cs="Times New Roman"/>
          <w:sz w:val="24"/>
          <w:szCs w:val="24"/>
        </w:rPr>
        <w:t>Porcentaje de avance del indicador de Acceso a la Información del Gobierno de la Métrica de Gobierno Abierto</w:t>
      </w:r>
    </w:p>
    <w:sdt>
      <w:sdtPr>
        <w:tag w:val="goog_rdk_1"/>
        <w:id w:val="1456299261"/>
      </w:sdtPr>
      <w:sdtEndPr/>
      <w:sdtContent>
        <w:p w14:paraId="776F06D8"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Línea Base: 25.37%, Métrica de Gobierno Abierto 2017-2019</w:t>
          </w:r>
        </w:p>
      </w:sdtContent>
    </w:sdt>
    <w:sdt>
      <w:sdtPr>
        <w:tag w:val="goog_rdk_2"/>
        <w:id w:val="-1462493770"/>
      </w:sdtPr>
      <w:sdtEndPr/>
      <w:sdtContent>
        <w:p w14:paraId="7966918A" w14:textId="77777777"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Se calcula el avance del indicador señalado entre una edición y otra en términos porcentuales. El cual se obtiene a partir de la revisión de las respuestas de sujetos obligados a las solicitudes de acceso a la información realizadas en un periodo dado analizando el cumplimiento del plazo legal, la existencia de una respuesta, y la frecuencia del uso de prórroga. </w:t>
          </w:r>
        </w:p>
      </w:sdtContent>
    </w:sdt>
    <w:p w14:paraId="6EEA4BBF" w14:textId="77777777" w:rsidR="00E35B30" w:rsidRPr="00BA784D" w:rsidRDefault="0036612A">
      <w:pPr>
        <w:widowControl/>
        <w:spacing w:before="280" w:after="280"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 xml:space="preserve">NOTA DE CAUCIÓN: Es recomendable la construcción de uno o más indicadores compuestos que reflejen la diversidad de problemáticas sobre el uso del derecho, el acceso a la información gubernamental por parte de la población por diversos medios, y el conocimiento del derecho. </w:t>
      </w:r>
    </w:p>
    <w:p w14:paraId="2D68DEE4" w14:textId="77777777" w:rsidR="00E35B30" w:rsidRPr="00BA784D" w:rsidRDefault="0036612A">
      <w:pPr>
        <w:widowControl/>
        <w:spacing w:before="280" w:after="280"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lastRenderedPageBreak/>
        <w:t>Algunas variables y sus fuentes a continuación:</w:t>
      </w:r>
    </w:p>
    <w:tbl>
      <w:tblPr>
        <w:tblStyle w:val="15"/>
        <w:tblW w:w="8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35"/>
        <w:gridCol w:w="1170"/>
        <w:gridCol w:w="1080"/>
        <w:gridCol w:w="1275"/>
      </w:tblGrid>
      <w:tr w:rsidR="00E35B30" w:rsidRPr="00BA784D" w14:paraId="34C4CDCB" w14:textId="77777777">
        <w:trPr>
          <w:trHeight w:val="870"/>
        </w:trPr>
        <w:tc>
          <w:tcPr>
            <w:tcW w:w="52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B3B9816"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Porcentaje estimado de población mayor a 18 años que conoce o ha escuchado sobre la existencia de una Ley en materia de transparencia</w:t>
            </w:r>
          </w:p>
        </w:tc>
        <w:tc>
          <w:tcPr>
            <w:tcW w:w="117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284653DE"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ENAID</w:t>
            </w:r>
          </w:p>
        </w:tc>
        <w:tc>
          <w:tcPr>
            <w:tcW w:w="108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2D0C3741"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50.60%</w:t>
            </w:r>
          </w:p>
        </w:tc>
        <w:tc>
          <w:tcPr>
            <w:tcW w:w="127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48B076A7"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62.63%</w:t>
            </w:r>
          </w:p>
        </w:tc>
      </w:tr>
      <w:tr w:rsidR="00E35B30" w:rsidRPr="00BA784D" w14:paraId="51878629" w14:textId="77777777">
        <w:trPr>
          <w:trHeight w:val="405"/>
        </w:trPr>
        <w:tc>
          <w:tcPr>
            <w:tcW w:w="52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D17B883"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Promedio del presupuesto ejercido por los organismos garantes como porcentaje de su presupuesto autorizado</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20E7CA4" w14:textId="19D6212E"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CNTAI</w:t>
            </w:r>
            <w:r w:rsidR="00FD69BE" w:rsidRPr="00BA784D">
              <w:rPr>
                <w:rFonts w:ascii="Times New Roman" w:eastAsia="Times New Roman" w:hAnsi="Times New Roman" w:cs="Times New Roman"/>
                <w:sz w:val="24"/>
                <w:szCs w:val="24"/>
              </w:rPr>
              <w:t>PPDP</w:t>
            </w:r>
          </w:p>
        </w:tc>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0D06D94"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97.13%</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708A3F9"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98.69%</w:t>
            </w:r>
          </w:p>
        </w:tc>
      </w:tr>
      <w:tr w:rsidR="00E35B30" w:rsidRPr="00BA784D" w14:paraId="55556E55" w14:textId="77777777">
        <w:trPr>
          <w:trHeight w:val="405"/>
        </w:trPr>
        <w:tc>
          <w:tcPr>
            <w:tcW w:w="52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732B2A7"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Indicador de Acceso a la Información del Gobierno de la Métrica de Gobierno Abierto</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EFC8FC0"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MGA</w:t>
            </w:r>
          </w:p>
        </w:tc>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A23A5D8"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0.6687</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49E3B4A"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0.84</w:t>
            </w:r>
          </w:p>
        </w:tc>
      </w:tr>
      <w:tr w:rsidR="00E35B30" w:rsidRPr="00BA784D" w14:paraId="3E546608" w14:textId="77777777">
        <w:trPr>
          <w:trHeight w:val="600"/>
        </w:trPr>
        <w:tc>
          <w:tcPr>
            <w:tcW w:w="52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97694A9"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Porcentaje de organismos garantes que cuentan con información sistematizada para el desarrollo de una plataforma de criterios y precedentes sobre el derecho de acceso a la información en el país</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531F2CE"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SESNT</w:t>
            </w:r>
          </w:p>
        </w:tc>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83CB9C1"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42.42%</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CAEF0B0"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51.51%</w:t>
            </w:r>
          </w:p>
        </w:tc>
      </w:tr>
      <w:tr w:rsidR="00E35B30" w:rsidRPr="00BA784D" w14:paraId="5778F4E9" w14:textId="77777777">
        <w:trPr>
          <w:trHeight w:val="405"/>
        </w:trPr>
        <w:tc>
          <w:tcPr>
            <w:tcW w:w="52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6DB0F6E"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Número de tickets levantados por incidencias en el funcionamiento de la Plataforma Nacional de Transparencia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CEBD696"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PNT</w:t>
            </w:r>
          </w:p>
        </w:tc>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E941A59"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2C3AAB6"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w:t>
            </w:r>
          </w:p>
        </w:tc>
      </w:tr>
      <w:tr w:rsidR="00E35B30" w:rsidRPr="00BA784D" w14:paraId="74CB3026" w14:textId="77777777">
        <w:trPr>
          <w:trHeight w:val="735"/>
        </w:trPr>
        <w:tc>
          <w:tcPr>
            <w:tcW w:w="52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65884F5"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Indicador compuesto a partir de las consultas a portales, así como solicitudes y recursos de revisión registrados</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CF17D94"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PNT</w:t>
            </w:r>
          </w:p>
        </w:tc>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76B50AF"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B033312"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w:t>
            </w:r>
          </w:p>
        </w:tc>
      </w:tr>
    </w:tbl>
    <w:p w14:paraId="32031053" w14:textId="77777777" w:rsidR="00E35B30" w:rsidRPr="00BA784D" w:rsidRDefault="00E35B30">
      <w:pPr>
        <w:widowControl/>
        <w:spacing w:before="280" w:after="280" w:line="360" w:lineRule="auto"/>
        <w:jc w:val="both"/>
        <w:rPr>
          <w:rFonts w:ascii="Times New Roman" w:eastAsia="Times New Roman" w:hAnsi="Times New Roman" w:cs="Times New Roman"/>
          <w:sz w:val="24"/>
          <w:szCs w:val="24"/>
        </w:rPr>
      </w:pPr>
    </w:p>
    <w:p w14:paraId="3A9616FF" w14:textId="77777777" w:rsidR="00E35B30" w:rsidRPr="00BA784D" w:rsidRDefault="0036612A">
      <w:pPr>
        <w:pStyle w:val="Ttulo2"/>
        <w:spacing w:line="360" w:lineRule="auto"/>
        <w:ind w:firstLine="120"/>
        <w:rPr>
          <w:sz w:val="24"/>
          <w:szCs w:val="24"/>
        </w:rPr>
      </w:pPr>
      <w:bookmarkStart w:id="18" w:name="_heading=h.2bn6wsx" w:colFirst="0" w:colLast="0"/>
      <w:bookmarkEnd w:id="18"/>
      <w:r w:rsidRPr="00BA784D">
        <w:br w:type="page"/>
      </w:r>
    </w:p>
    <w:p w14:paraId="2AFCFC1F" w14:textId="77777777" w:rsidR="00E35B30" w:rsidRPr="00BA784D" w:rsidRDefault="0036612A">
      <w:pPr>
        <w:pStyle w:val="Ttulo2"/>
        <w:spacing w:line="360" w:lineRule="auto"/>
        <w:ind w:left="0"/>
        <w:rPr>
          <w:sz w:val="24"/>
          <w:szCs w:val="24"/>
        </w:rPr>
      </w:pPr>
      <w:bookmarkStart w:id="19" w:name="_Toc102051228"/>
      <w:r w:rsidRPr="00BA784D">
        <w:rPr>
          <w:sz w:val="24"/>
          <w:szCs w:val="24"/>
        </w:rPr>
        <w:lastRenderedPageBreak/>
        <w:t>Eje 3. Políticas de Transparencia: Estado Abierto, Gobierno Digital, Transparencia Proactiva, SIPOT y Datos Abiertos</w:t>
      </w:r>
      <w:bookmarkEnd w:id="19"/>
    </w:p>
    <w:p w14:paraId="4660EFAD" w14:textId="77777777" w:rsidR="00E35B30" w:rsidRPr="00BA784D" w:rsidRDefault="00E35B30">
      <w:pPr>
        <w:widowControl/>
        <w:spacing w:line="360" w:lineRule="auto"/>
        <w:rPr>
          <w:rFonts w:ascii="Times New Roman" w:eastAsia="Times New Roman" w:hAnsi="Times New Roman" w:cs="Times New Roman"/>
          <w:b/>
          <w:sz w:val="24"/>
          <w:szCs w:val="24"/>
        </w:rPr>
      </w:pPr>
    </w:p>
    <w:p w14:paraId="0FD7A574"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Síntesis de la problemática identificada en el diagnóstico:</w:t>
      </w:r>
      <w:r w:rsidRPr="00BA784D">
        <w:rPr>
          <w:rFonts w:ascii="Times New Roman" w:eastAsia="Times New Roman" w:hAnsi="Times New Roman" w:cs="Times New Roman"/>
          <w:sz w:val="24"/>
          <w:szCs w:val="24"/>
        </w:rPr>
        <w:t xml:space="preserve"> En este eje se conjuntan diversas expresiones de la transparencia en las instituciones públicas y su relación con la ciudadanía para materializar el acceso a la información en la disminución de brechas sociales, dar acceso al ejercicio de otros derechos y resolver problemas públicos.</w:t>
      </w:r>
    </w:p>
    <w:p w14:paraId="5EF3124E"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La Métrica de Gobierno Abierto es un estudio que “aporta diferentes elementos de análisis en materia de apertura, con base en los ejes de transparencia y participación ciudadana, así como la oferta de mecanismos gubernamentales y la demanda de instrumentos por parte de la ciudadanía”</w:t>
      </w:r>
      <w:r w:rsidRPr="00BA784D">
        <w:rPr>
          <w:rFonts w:ascii="Times New Roman" w:eastAsia="Times New Roman" w:hAnsi="Times New Roman" w:cs="Times New Roman"/>
          <w:sz w:val="24"/>
          <w:szCs w:val="24"/>
          <w:vertAlign w:val="superscript"/>
        </w:rPr>
        <w:footnoteReference w:id="8"/>
      </w:r>
      <w:r w:rsidRPr="00BA784D">
        <w:rPr>
          <w:rFonts w:ascii="Times New Roman" w:eastAsia="Times New Roman" w:hAnsi="Times New Roman" w:cs="Times New Roman"/>
          <w:sz w:val="24"/>
          <w:szCs w:val="24"/>
        </w:rPr>
        <w:t>. De acuerdo con los datos de su Índice de Gobierno Abierto en México, en 2019 reportaba avances respecto a la medición de 2017; con excepción del eje temático de participación desde el gobierno, hubo un incremento de los niveles apertura, acceso a la información, transparencia y participación.</w:t>
      </w:r>
    </w:p>
    <w:p w14:paraId="2E1218E6"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Por otra parte, si bien es cierto que mejoraron las calificaciones, sigue estando pendiente la publicación de los datos abiertos por parte de los Sujetos Obligados y que se atiendan las necesidades específicas de la ciudadanía respecto al acceso a la información, sobre todo creando información más entendible y enfocada. Asimismo, se deben mejorar los portales y buscadores para el acceso a estos datos a nivel nacional, pero, sobre todo, a nivel estatal, en el que hay muchas disparidades. También se vuelve indispensable homologar el lenguaje y las interacciones con los Sujetos Obligados y avanzar en la instalación de los Secretariados Técnicos Locales, que contribuyan a la dimensión de la participación ciudadana.</w:t>
      </w:r>
    </w:p>
    <w:p w14:paraId="0751EBE0" w14:textId="77777777" w:rsidR="00E35B30" w:rsidRPr="00BA784D" w:rsidRDefault="00E35B30">
      <w:pPr>
        <w:widowControl/>
        <w:spacing w:line="360" w:lineRule="auto"/>
        <w:rPr>
          <w:rFonts w:ascii="Times New Roman" w:eastAsia="Times New Roman" w:hAnsi="Times New Roman" w:cs="Times New Roman"/>
          <w:b/>
          <w:sz w:val="24"/>
          <w:szCs w:val="24"/>
        </w:rPr>
      </w:pPr>
    </w:p>
    <w:p w14:paraId="6CD2AC51" w14:textId="77777777" w:rsidR="00E35B30" w:rsidRPr="00BA784D" w:rsidRDefault="0036612A">
      <w:pPr>
        <w:pStyle w:val="Ttulo3"/>
      </w:pPr>
      <w:bookmarkStart w:id="20" w:name="_Toc102051229"/>
      <w:r w:rsidRPr="00BA784D">
        <w:t>3.1. ESTADO ABIERTO</w:t>
      </w:r>
      <w:bookmarkEnd w:id="20"/>
    </w:p>
    <w:p w14:paraId="69298540" w14:textId="77777777"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Síntesis de la problemática identificada en el diagnóstico:</w:t>
      </w:r>
      <w:r w:rsidRPr="00BA784D">
        <w:rPr>
          <w:rFonts w:ascii="Times New Roman" w:eastAsia="Times New Roman" w:hAnsi="Times New Roman" w:cs="Times New Roman"/>
          <w:sz w:val="24"/>
          <w:szCs w:val="24"/>
        </w:rPr>
        <w:t xml:space="preserve"> Durante la ejecución PROTAI 2017-2021 hubo avances registrados principalmente en los indicadores de la Métrica de Gobierno Abierto y el incremento en la instalación de Secretariados Técnicos y determinación de Planes de Acción en la iniciativa “Co-creación: Creación desde lo local”. </w:t>
      </w:r>
      <w:r w:rsidRPr="00BA784D">
        <w:rPr>
          <w:rFonts w:ascii="Times New Roman" w:eastAsia="Times New Roman" w:hAnsi="Times New Roman" w:cs="Times New Roman"/>
          <w:sz w:val="24"/>
          <w:szCs w:val="24"/>
        </w:rPr>
        <w:lastRenderedPageBreak/>
        <w:t>Aunque, derivado del despertar social por participar en la resolución de problemas públicos y la exigencia de la población de ser tomada en cuenta y ejercer la democracia en más ámbitos de la vida pública es que fue quedando obsoleto limitar la apertura a los gobiernos y ha ido extendiéndose a los parlamentos, poderes judiciales y demás instituciones que conforman el Estado. Ante lo anterior ha sido necesario un replanteamiento de los conceptos y evolucionar con ellos en la implementación de los principios de apertura gubernamental a todos los niveles y poderes del Estado como mecanismo de gobernanza para materializar políticas concretas con amplia participación ciudadana en la toma de decisiones, mismos que a los que es necesario evaluar para conocer su impacto y dar seguimiento a sus resultados.</w:t>
      </w:r>
    </w:p>
    <w:p w14:paraId="78E9E2C1" w14:textId="46C3AB3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Al hacer un balance para la renovación de este eje merece la pena mencionar que en el PROTAI 2017-2021 fueron auto reportadas 313 acciones en el periodo de 2018 a 2021 por parte de los Organismos Garantes </w:t>
      </w:r>
      <w:r w:rsidR="00404DD0" w:rsidRPr="00BA784D">
        <w:rPr>
          <w:rFonts w:ascii="Times New Roman" w:eastAsia="Times New Roman" w:hAnsi="Times New Roman" w:cs="Times New Roman"/>
          <w:sz w:val="24"/>
          <w:szCs w:val="24"/>
        </w:rPr>
        <w:t>L</w:t>
      </w:r>
      <w:r w:rsidRPr="00BA784D">
        <w:rPr>
          <w:rFonts w:ascii="Times New Roman" w:eastAsia="Times New Roman" w:hAnsi="Times New Roman" w:cs="Times New Roman"/>
          <w:sz w:val="24"/>
          <w:szCs w:val="24"/>
        </w:rPr>
        <w:t xml:space="preserve">ocales. Siendo Oaxaca la entidad que más actividades registró: 64 (20.4% del total), en tanto que casi la tercera parte de Organismos Garantes (10) no reporta ninguna actividad; como en otros ejes, se denota una gran disparidad en el escenario local en el avance en la materia. En particular las líneas </w:t>
      </w:r>
      <w:r w:rsidRPr="00BA784D">
        <w:rPr>
          <w:rFonts w:ascii="Times New Roman" w:eastAsia="Times New Roman" w:hAnsi="Times New Roman" w:cs="Times New Roman"/>
          <w:i/>
          <w:sz w:val="24"/>
          <w:szCs w:val="24"/>
        </w:rPr>
        <w:t>3.2 Fomentar la participación ciudadana en los procesos de toma de decisiones para fortalecer el enfoque de Gobierno Abierto con perspectiva derechos humanos y de género</w:t>
      </w:r>
      <w:r w:rsidRPr="00BA784D">
        <w:rPr>
          <w:rFonts w:ascii="Times New Roman" w:eastAsia="Times New Roman" w:hAnsi="Times New Roman" w:cs="Times New Roman"/>
          <w:sz w:val="24"/>
          <w:szCs w:val="24"/>
        </w:rPr>
        <w:t xml:space="preserve">, y </w:t>
      </w:r>
      <w:r w:rsidRPr="00BA784D">
        <w:rPr>
          <w:rFonts w:ascii="Times New Roman" w:eastAsia="Times New Roman" w:hAnsi="Times New Roman" w:cs="Times New Roman"/>
          <w:i/>
          <w:sz w:val="24"/>
          <w:szCs w:val="24"/>
        </w:rPr>
        <w:t>3.3 Consolidar la capacitación de las y las personas del servicio público en materia de Gobierno Abierto</w:t>
      </w:r>
      <w:r w:rsidRPr="00BA784D">
        <w:rPr>
          <w:rFonts w:ascii="Times New Roman" w:eastAsia="Times New Roman" w:hAnsi="Times New Roman" w:cs="Times New Roman"/>
          <w:sz w:val="24"/>
          <w:szCs w:val="24"/>
        </w:rPr>
        <w:t>, solo reportaron 28 y 22 actividades cada una, de nuevo siendo Oaxaca el mayor número (10 en cada una). Destaca que, para ambas líneas, tres cuartas partes de los Organismos Garantes no registraron acciones de capacitación, ni actividades en el tema de perspectiva de derechos humanos y de género.</w:t>
      </w:r>
    </w:p>
    <w:p w14:paraId="3FAD05A4" w14:textId="77777777" w:rsidR="00E35B30" w:rsidRPr="00BA784D" w:rsidRDefault="0036612A">
      <w:pPr>
        <w:widowControl/>
        <w:spacing w:before="280" w:after="280" w:line="360" w:lineRule="auto"/>
        <w:jc w:val="both"/>
        <w:rPr>
          <w:rFonts w:ascii="Times New Roman" w:eastAsia="Times New Roman" w:hAnsi="Times New Roman" w:cs="Times New Roman"/>
          <w:b/>
          <w:i/>
          <w:sz w:val="24"/>
          <w:szCs w:val="24"/>
        </w:rPr>
      </w:pPr>
      <w:r w:rsidRPr="00BA784D">
        <w:rPr>
          <w:rFonts w:ascii="Times New Roman" w:eastAsia="Times New Roman" w:hAnsi="Times New Roman" w:cs="Times New Roman"/>
          <w:b/>
          <w:i/>
          <w:sz w:val="24"/>
          <w:szCs w:val="24"/>
        </w:rPr>
        <w:t>Objetivo Estratégico 3.1 Actualizar los principios de apertura gubernamental y robustecer el enfoque de Estado Abierto para aumentar la participación en la solución de problemas sociales.</w:t>
      </w:r>
    </w:p>
    <w:p w14:paraId="6BBE4469" w14:textId="77777777" w:rsidR="00E35B30" w:rsidRPr="00BA784D" w:rsidRDefault="0036612A">
      <w:pPr>
        <w:widowControl/>
        <w:spacing w:before="280" w:after="280"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Líneas de acción:</w:t>
      </w:r>
    </w:p>
    <w:p w14:paraId="7D535632" w14:textId="318523BD"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3.1.1 Promover la inclusión en el marco normativo y técnico de la obligación de apertura del Estado en todos sus ámbitos para mantener actualizada la normatividad al avance </w:t>
      </w:r>
      <w:r w:rsidRPr="00BA784D">
        <w:rPr>
          <w:rFonts w:ascii="Times New Roman" w:eastAsia="Times New Roman" w:hAnsi="Times New Roman" w:cs="Times New Roman"/>
          <w:sz w:val="24"/>
          <w:szCs w:val="24"/>
        </w:rPr>
        <w:lastRenderedPageBreak/>
        <w:t>conceptual, incluyendo los lineamientos y documentos de referencia emitidos por el Consejo Nacional del SNT</w:t>
      </w:r>
      <w:r w:rsidR="005F7015"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011EA54B" w14:textId="3EEC03B5"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3.1.2 Desarrollar herramientas de seguimiento, medición y evaluación de los mecanismos de Estado Abierto como metodologías que permitan determinar la situación institucional de la apertura como posible solución de problemas sociales</w:t>
      </w:r>
      <w:r w:rsidR="005F7015"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0FB7DBBB" w14:textId="144C76DA"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3.1.3-C Línea Transversal de Profesionalización y Fortalecimiento Institucional. </w:t>
      </w:r>
      <w:r w:rsidRPr="00BA784D">
        <w:rPr>
          <w:rFonts w:ascii="Times New Roman" w:eastAsia="Times New Roman" w:hAnsi="Times New Roman" w:cs="Times New Roman"/>
          <w:sz w:val="24"/>
          <w:szCs w:val="24"/>
        </w:rPr>
        <w:t>Consolidar los procesos de capacitación de las personas del servicio público y sociedad civil en materia de participación ciudadana para la toma de decisiones y fortalecer los mecanismos de Estado Abierto conforme a los esquemas desarrollados por el SNT en las líneas de acción 2.1.1-C y 2.1.5-B</w:t>
      </w:r>
      <w:r w:rsidR="005F7015"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1B75523B" w14:textId="2E36BB6B"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3.1.4-A 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 xml:space="preserve">ransversal de Promoción, Difusión y Fomento de la Cultura. </w:t>
      </w:r>
      <w:r w:rsidRPr="00BA784D">
        <w:rPr>
          <w:rFonts w:ascii="Times New Roman" w:eastAsia="Times New Roman" w:hAnsi="Times New Roman" w:cs="Times New Roman"/>
          <w:sz w:val="24"/>
          <w:szCs w:val="24"/>
        </w:rPr>
        <w:t>Generar y difundir, de forma individual por integrante o en colaboración con las comisiones del SNT correspondientes, productos y materiales de comunicación sobre el Estado Abierto y su impacto en el acceso a la información pública ajustables por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 xml:space="preserve">s </w:t>
      </w:r>
      <w:r w:rsidR="00EC37B3" w:rsidRPr="00BA784D">
        <w:rPr>
          <w:rFonts w:ascii="Times New Roman" w:eastAsia="Times New Roman" w:hAnsi="Times New Roman" w:cs="Times New Roman"/>
          <w:sz w:val="24"/>
          <w:szCs w:val="24"/>
        </w:rPr>
        <w:t xml:space="preserve">instituciones </w:t>
      </w:r>
      <w:r w:rsidRPr="00BA784D">
        <w:rPr>
          <w:rFonts w:ascii="Times New Roman" w:eastAsia="Times New Roman" w:hAnsi="Times New Roman" w:cs="Times New Roman"/>
          <w:sz w:val="24"/>
          <w:szCs w:val="24"/>
        </w:rPr>
        <w:t>integrantes del SNT o sus sujetos obligados y considerando mecanismos</w:t>
      </w:r>
      <w:r w:rsidR="00AA4DD3" w:rsidRPr="00BA784D">
        <w:rPr>
          <w:rFonts w:ascii="Times New Roman" w:eastAsia="Times New Roman" w:hAnsi="Times New Roman" w:cs="Times New Roman"/>
          <w:sz w:val="24"/>
          <w:szCs w:val="24"/>
        </w:rPr>
        <w:t xml:space="preserve"> de</w:t>
      </w:r>
      <w:r w:rsidRPr="00BA784D">
        <w:rPr>
          <w:rFonts w:ascii="Times New Roman" w:eastAsia="Times New Roman" w:hAnsi="Times New Roman" w:cs="Times New Roman"/>
          <w:sz w:val="24"/>
          <w:szCs w:val="24"/>
        </w:rPr>
        <w:t xml:space="preserve"> evaluación a su difusión, conforme a la línea de acción 2.1.7-A</w:t>
      </w:r>
      <w:r w:rsidR="004E6DF8"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7EE0505F" w14:textId="04C0C128"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3.1.5-B Línea Transversal DDHH, Enfoque de Género e Inclusión Social. </w:t>
      </w:r>
      <w:r w:rsidRPr="00BA784D">
        <w:rPr>
          <w:rFonts w:ascii="Times New Roman" w:eastAsia="Times New Roman" w:hAnsi="Times New Roman" w:cs="Times New Roman"/>
          <w:sz w:val="24"/>
          <w:szCs w:val="24"/>
        </w:rPr>
        <w:t>Ampliar la instalación y funcionamiento de iniciativas y mecanismos de Estado Abierto en los tres ámbitos de gobierno que respondan a los contextos sociales locales, federal y nacional (Parlamento Abierto, Justicia Abierta y Gobierno Abierto) de forma que sean incluyentes y accesibles a la participación ciudadana como un elemento indispensable para el robustecimiento de estas prácticas</w:t>
      </w:r>
      <w:r w:rsidR="00C45C4A" w:rsidRPr="00BA784D">
        <w:rPr>
          <w:rFonts w:ascii="Times New Roman" w:eastAsia="Times New Roman" w:hAnsi="Times New Roman" w:cs="Times New Roman"/>
          <w:sz w:val="24"/>
          <w:szCs w:val="24"/>
        </w:rPr>
        <w:t>, así como para grupos en situación de vulnerabilidad</w:t>
      </w:r>
      <w:r w:rsidR="004E6DF8" w:rsidRPr="00BA784D">
        <w:rPr>
          <w:rFonts w:ascii="Times New Roman" w:eastAsia="Times New Roman" w:hAnsi="Times New Roman" w:cs="Times New Roman"/>
          <w:sz w:val="24"/>
          <w:szCs w:val="24"/>
        </w:rPr>
        <w:t xml:space="preserve"> (INAI, OGL)</w:t>
      </w:r>
      <w:r w:rsidR="00C45C4A" w:rsidRPr="00BA784D">
        <w:rPr>
          <w:rFonts w:ascii="Times New Roman" w:eastAsia="Times New Roman" w:hAnsi="Times New Roman" w:cs="Times New Roman"/>
          <w:sz w:val="24"/>
          <w:szCs w:val="24"/>
        </w:rPr>
        <w:t>.</w:t>
      </w:r>
    </w:p>
    <w:p w14:paraId="7E785823" w14:textId="5AEAF7DA"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3.1.6 Propiciar iniciativas de colaboración con </w:t>
      </w:r>
      <w:r w:rsidR="00C45C4A" w:rsidRPr="00BA784D">
        <w:rPr>
          <w:rFonts w:ascii="Times New Roman" w:eastAsia="Times New Roman" w:hAnsi="Times New Roman" w:cs="Times New Roman"/>
          <w:sz w:val="24"/>
          <w:szCs w:val="24"/>
        </w:rPr>
        <w:t xml:space="preserve">personas y </w:t>
      </w:r>
      <w:r w:rsidRPr="00BA784D">
        <w:rPr>
          <w:rFonts w:ascii="Times New Roman" w:eastAsia="Times New Roman" w:hAnsi="Times New Roman" w:cs="Times New Roman"/>
          <w:sz w:val="24"/>
          <w:szCs w:val="24"/>
        </w:rPr>
        <w:t>organizaciones de la sociedad civil y autoridades para dotar de utilidad social de la información contenida en las obligaciones de transparencia y su vinculación con la rendición de cuentas y la integridad pública; se recomienda que dichas alianzas se amplíen más allá de los colaboradores habituales</w:t>
      </w:r>
      <w:r w:rsidRPr="00BA784D">
        <w:rPr>
          <w:rFonts w:ascii="Times New Roman" w:eastAsia="Times New Roman" w:hAnsi="Times New Roman" w:cs="Times New Roman"/>
          <w:sz w:val="24"/>
          <w:szCs w:val="24"/>
          <w:vertAlign w:val="superscript"/>
        </w:rPr>
        <w:footnoteReference w:id="9"/>
      </w:r>
      <w:r w:rsidR="004E6DF8"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69DA3677" w14:textId="4A1E84BD"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 xml:space="preserve">3.1.7 Consolidar el diálogo y colaboración estratégica con </w:t>
      </w:r>
      <w:r w:rsidR="00C45C4A" w:rsidRPr="00BA784D">
        <w:rPr>
          <w:rFonts w:ascii="Times New Roman" w:eastAsia="Times New Roman" w:hAnsi="Times New Roman" w:cs="Times New Roman"/>
          <w:sz w:val="24"/>
          <w:szCs w:val="24"/>
        </w:rPr>
        <w:t xml:space="preserve">personas y </w:t>
      </w:r>
      <w:r w:rsidRPr="00BA784D">
        <w:rPr>
          <w:rFonts w:ascii="Times New Roman" w:eastAsia="Times New Roman" w:hAnsi="Times New Roman" w:cs="Times New Roman"/>
          <w:sz w:val="24"/>
          <w:szCs w:val="24"/>
        </w:rPr>
        <w:t>organizaciones de la sociedad civil y autoridades para aprovechar la plataforma de la Alianza para el Gobierno Abierto en la difusión y desarrollo de prácticas en materia de Estado Abierto y Transparencia Proactiva se recomienda que dichas iniciativas se amplíen más allá de los colaboradores habituales</w:t>
      </w:r>
      <w:r w:rsidRPr="00BA784D">
        <w:rPr>
          <w:rFonts w:ascii="Times New Roman" w:eastAsia="Times New Roman" w:hAnsi="Times New Roman" w:cs="Times New Roman"/>
          <w:sz w:val="24"/>
          <w:szCs w:val="24"/>
          <w:vertAlign w:val="superscript"/>
        </w:rPr>
        <w:footnoteReference w:id="10"/>
      </w:r>
      <w:r w:rsidR="004E6DF8"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736867E4" w14:textId="77777777" w:rsidR="00E35B30" w:rsidRPr="00BA784D" w:rsidRDefault="0036612A">
      <w:pPr>
        <w:keepNext/>
        <w:keepLines/>
        <w:widowControl/>
        <w:spacing w:before="240"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Estrategias:</w:t>
      </w:r>
      <w:r w:rsidRPr="00BA784D">
        <w:rPr>
          <w:rFonts w:ascii="Times New Roman" w:eastAsia="Times New Roman" w:hAnsi="Times New Roman" w:cs="Times New Roman"/>
          <w:sz w:val="24"/>
          <w:szCs w:val="24"/>
        </w:rPr>
        <w:t xml:space="preserve"> </w:t>
      </w:r>
    </w:p>
    <w:p w14:paraId="07668EEB" w14:textId="77777777" w:rsidR="00E35B30" w:rsidRPr="00BA784D" w:rsidRDefault="0036612A">
      <w:pPr>
        <w:widowControl/>
        <w:numPr>
          <w:ilvl w:val="0"/>
          <w:numId w:val="20"/>
        </w:numPr>
        <w:spacing w:before="280"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 xml:space="preserve">Socialización: </w:t>
      </w:r>
      <w:r w:rsidRPr="00BA784D">
        <w:rPr>
          <w:rFonts w:ascii="Times New Roman" w:eastAsia="Times New Roman" w:hAnsi="Times New Roman" w:cs="Times New Roman"/>
          <w:sz w:val="24"/>
          <w:szCs w:val="24"/>
        </w:rPr>
        <w:t>Diálogo, colaboración, alianzas, convenios e iniciativas con instituciones, organizaciones y personas, garantizando el componente de participación.</w:t>
      </w:r>
    </w:p>
    <w:p w14:paraId="04856EDE"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Coordinación:</w:t>
      </w:r>
      <w:r w:rsidRPr="00BA784D">
        <w:rPr>
          <w:rFonts w:ascii="Times New Roman" w:eastAsia="Times New Roman" w:hAnsi="Times New Roman" w:cs="Times New Roman"/>
          <w:sz w:val="24"/>
          <w:szCs w:val="24"/>
        </w:rPr>
        <w:t xml:space="preserve"> Vinculación con instancias y Comisiones del SNT, organizaciones civiles e internacionales (Alianza para el Gobierno Abierto).</w:t>
      </w:r>
    </w:p>
    <w:p w14:paraId="0DFAF58C"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Capacitación: </w:t>
      </w:r>
      <w:r w:rsidRPr="00BA784D">
        <w:rPr>
          <w:rFonts w:ascii="Times New Roman" w:eastAsia="Times New Roman" w:hAnsi="Times New Roman" w:cs="Times New Roman"/>
          <w:sz w:val="24"/>
          <w:szCs w:val="24"/>
        </w:rPr>
        <w:t xml:space="preserve">Instrumentos del SNT establecidos en la línea de acción 2.1.1-C. </w:t>
      </w:r>
    </w:p>
    <w:p w14:paraId="6FAAA67E" w14:textId="2E434C00"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Mejora Regulatoria: </w:t>
      </w:r>
      <w:r w:rsidRPr="00BA784D">
        <w:rPr>
          <w:rFonts w:ascii="Times New Roman" w:eastAsia="Times New Roman" w:hAnsi="Times New Roman" w:cs="Times New Roman"/>
          <w:sz w:val="24"/>
          <w:szCs w:val="24"/>
        </w:rPr>
        <w:t>Actualización del marco normativo del SNT.</w:t>
      </w:r>
    </w:p>
    <w:p w14:paraId="00C2172E"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Inclusión:</w:t>
      </w:r>
      <w:r w:rsidRPr="00BA784D">
        <w:rPr>
          <w:rFonts w:ascii="Times New Roman" w:eastAsia="Times New Roman" w:hAnsi="Times New Roman" w:cs="Times New Roman"/>
          <w:sz w:val="24"/>
          <w:szCs w:val="24"/>
        </w:rPr>
        <w:t xml:space="preserve"> Emprender acciones, alianzas y convenios con instituciones, organizaciones y personas en situación de vulnerabilidad, garantizando el componente de participación.</w:t>
      </w:r>
    </w:p>
    <w:p w14:paraId="30FFE64D"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Comunicación: </w:t>
      </w:r>
      <w:r w:rsidRPr="00BA784D">
        <w:rPr>
          <w:rFonts w:ascii="Times New Roman" w:eastAsia="Times New Roman" w:hAnsi="Times New Roman" w:cs="Times New Roman"/>
          <w:sz w:val="24"/>
          <w:szCs w:val="24"/>
        </w:rPr>
        <w:t>Acciones coordinadas y evaluadas a nivel nacional y ajustables localmente a las necesidades de Organismos Garantes y Sujetos Obligados.</w:t>
      </w:r>
    </w:p>
    <w:p w14:paraId="6432E05A" w14:textId="77777777"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Indicador de Resultado:</w:t>
      </w:r>
      <w:r w:rsidRPr="00BA784D">
        <w:rPr>
          <w:rFonts w:ascii="Times New Roman" w:eastAsia="Times New Roman" w:hAnsi="Times New Roman" w:cs="Times New Roman"/>
          <w:sz w:val="24"/>
          <w:szCs w:val="24"/>
        </w:rPr>
        <w:t xml:space="preserve"> Porcentaje de avance del Subíndice de Participación de la Métrica de Gobierno Abierto</w:t>
      </w:r>
    </w:p>
    <w:p w14:paraId="0ED5D3DF" w14:textId="77777777"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El subíndice de participación ciudadana evalúa tanto la existencia y funcionamiento de mecanismos de participación en cada sujeto obligado, como el nivel en el que las personas pueden comunicarse con los sujetos obligados para hacer propuestas sobre su quehacer. Por </w:t>
      </w:r>
      <w:r w:rsidRPr="00BA784D">
        <w:rPr>
          <w:rFonts w:ascii="Times New Roman" w:eastAsia="Times New Roman" w:hAnsi="Times New Roman" w:cs="Times New Roman"/>
          <w:sz w:val="24"/>
          <w:szCs w:val="24"/>
        </w:rPr>
        <w:lastRenderedPageBreak/>
        <w:t>ello, esa medición se considera la medición más cercana al objetivo propuesto al calcular el avance entre una edición y otra del indicador señalado en términos porcentuales.</w:t>
      </w:r>
    </w:p>
    <w:p w14:paraId="3C2DD4D9" w14:textId="77777777"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Línea Base:</w:t>
      </w:r>
      <w:r w:rsidRPr="00BA784D">
        <w:rPr>
          <w:rFonts w:ascii="Times New Roman" w:eastAsia="Times New Roman" w:hAnsi="Times New Roman" w:cs="Times New Roman"/>
          <w:sz w:val="24"/>
          <w:szCs w:val="24"/>
        </w:rPr>
        <w:t xml:space="preserve"> 46.43%, Métrica de Gobierno Abierto 2017-2019</w:t>
      </w:r>
    </w:p>
    <w:p w14:paraId="454B6392" w14:textId="77777777" w:rsidR="00E35B30" w:rsidRPr="00BA784D" w:rsidRDefault="0036612A">
      <w:pPr>
        <w:pStyle w:val="Ttulo3"/>
      </w:pPr>
      <w:bookmarkStart w:id="21" w:name="_Toc102051230"/>
      <w:r w:rsidRPr="00BA784D">
        <w:t>3.2 GOBIERNO DIGITAL</w:t>
      </w:r>
      <w:bookmarkEnd w:id="21"/>
    </w:p>
    <w:p w14:paraId="7837B09A" w14:textId="71BEC15E"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Síntesis de la problemática identificada en el diagnóstico:</w:t>
      </w:r>
      <w:r w:rsidRPr="00BA784D">
        <w:rPr>
          <w:rFonts w:ascii="Times New Roman" w:eastAsia="Times New Roman" w:hAnsi="Times New Roman" w:cs="Times New Roman"/>
          <w:sz w:val="24"/>
          <w:szCs w:val="24"/>
        </w:rPr>
        <w:t xml:space="preserve"> La contingencia sanitaria del 2020 origina por la COVID-19 obligó a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a adaptarse de manera rápida para funcionar a distancia y realizar una acelerada incorporación de tecnologías de comunicación en sus labores cotidianas. Dicho proceso que ha sucedido de forma gradual, considerando que diversos mecanismos del SNT ya operaban de forma remota ocasionalmente (principalmente gracias al INEGI), sumada a la consolidación de la PNT como herramienta central y que había iniciativas para profundizar dicha tendencia de más de veinte años en la administración pública de construcción del gobierno digital.</w:t>
      </w:r>
    </w:p>
    <w:p w14:paraId="0B7EF89D" w14:textId="3E0D28F0"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En este sentido, es necesario seguir consolidando la infraestructura y capacidades de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 xml:space="preserve">s </w:t>
      </w:r>
      <w:r w:rsidR="00EC37B3" w:rsidRPr="00BA784D">
        <w:rPr>
          <w:rFonts w:ascii="Times New Roman" w:eastAsia="Times New Roman" w:hAnsi="Times New Roman" w:cs="Times New Roman"/>
          <w:sz w:val="24"/>
          <w:szCs w:val="24"/>
        </w:rPr>
        <w:t xml:space="preserve">instituciones </w:t>
      </w:r>
      <w:r w:rsidRPr="00BA784D">
        <w:rPr>
          <w:rFonts w:ascii="Times New Roman" w:eastAsia="Times New Roman" w:hAnsi="Times New Roman" w:cs="Times New Roman"/>
          <w:sz w:val="24"/>
          <w:szCs w:val="24"/>
        </w:rPr>
        <w:t xml:space="preserve">integrantes del SNT, así como responder a los nuevos retos tanto de interconexión con los desarrollos, herramientas y plataformas de otros Sistemas Nacionales e instituciones, como de disparidades en los portales y buscadores para el acceso a información a nivel nacional y de forma particular a nivel estatal. </w:t>
      </w:r>
    </w:p>
    <w:p w14:paraId="21144B78" w14:textId="77777777" w:rsidR="00E35B30" w:rsidRPr="00BA784D" w:rsidRDefault="0036612A">
      <w:pPr>
        <w:widowControl/>
        <w:spacing w:before="280" w:after="280"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i/>
          <w:sz w:val="24"/>
          <w:szCs w:val="24"/>
        </w:rPr>
        <w:t>Objetivo Estratégico 3.2 Impulsar el uso de Tecnologías de la Información y Comunicación como instrumento de actualización y accesibilidad para disminuir las brechas en el ejercicio del DAI.</w:t>
      </w:r>
    </w:p>
    <w:p w14:paraId="22A0096C" w14:textId="77777777" w:rsidR="00E35B30" w:rsidRPr="00BA784D" w:rsidRDefault="0036612A">
      <w:pPr>
        <w:widowControl/>
        <w:spacing w:before="280" w:after="280"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Líneas de acción:</w:t>
      </w:r>
    </w:p>
    <w:p w14:paraId="70962B01" w14:textId="764571C3"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3.2.1 </w:t>
      </w:r>
      <w:r w:rsidR="000F540F" w:rsidRPr="00BA784D">
        <w:rPr>
          <w:rFonts w:ascii="Times New Roman" w:eastAsia="Times New Roman" w:hAnsi="Times New Roman" w:cs="Times New Roman"/>
          <w:sz w:val="24"/>
          <w:szCs w:val="24"/>
        </w:rPr>
        <w:t>Elaborar</w:t>
      </w:r>
      <w:r w:rsidR="00001186" w:rsidRPr="00BA784D">
        <w:rPr>
          <w:rFonts w:ascii="Times New Roman" w:eastAsia="Times New Roman" w:hAnsi="Times New Roman" w:cs="Times New Roman"/>
          <w:sz w:val="24"/>
          <w:szCs w:val="24"/>
        </w:rPr>
        <w:t>, por parte de la Comisión de Tecnologías de la Información y Plataforma Nacional de Transparencia del SNT,</w:t>
      </w:r>
      <w:r w:rsidR="000F540F" w:rsidRPr="00BA784D">
        <w:rPr>
          <w:rFonts w:ascii="Times New Roman" w:eastAsia="Times New Roman" w:hAnsi="Times New Roman" w:cs="Times New Roman"/>
          <w:sz w:val="24"/>
          <w:szCs w:val="24"/>
        </w:rPr>
        <w:t xml:space="preserve"> un d</w:t>
      </w:r>
      <w:r w:rsidRPr="00BA784D">
        <w:rPr>
          <w:rFonts w:ascii="Times New Roman" w:eastAsia="Times New Roman" w:hAnsi="Times New Roman" w:cs="Times New Roman"/>
          <w:sz w:val="24"/>
          <w:szCs w:val="24"/>
        </w:rPr>
        <w:t>iagnóstico de la infraestructura y recursos tecnológicos disponibles que operan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y los sujetos obligados de la LGTAIP, para la identificación de necesidades y áreas de oportunidad</w:t>
      </w:r>
      <w:r w:rsidR="000F540F"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4BFCBD19" w14:textId="3D61EFB7"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lastRenderedPageBreak/>
        <w:t xml:space="preserve">3.2.2-C Línea Transversal de Profesionalización y Fortalecimiento Institucional: </w:t>
      </w:r>
      <w:r w:rsidRPr="00BA784D">
        <w:rPr>
          <w:rFonts w:ascii="Times New Roman" w:eastAsia="Times New Roman" w:hAnsi="Times New Roman" w:cs="Times New Roman"/>
          <w:sz w:val="24"/>
          <w:szCs w:val="24"/>
        </w:rPr>
        <w:t>Actualizar, mejorar y aprovechar la infraestructura tecnológica existente al interior de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para la administración del conocimiento y la colaboración digital, a través de sistemas y esquemas tecnológicos de organización, coordinación y comunicación</w:t>
      </w:r>
      <w:r w:rsidR="000F540F" w:rsidRPr="00BA784D">
        <w:rPr>
          <w:rFonts w:ascii="Times New Roman" w:eastAsia="Times New Roman" w:hAnsi="Times New Roman" w:cs="Times New Roman"/>
          <w:sz w:val="24"/>
          <w:szCs w:val="24"/>
        </w:rPr>
        <w:t xml:space="preserve"> (INAI, AGN, ASF, OGL)</w:t>
      </w:r>
      <w:r w:rsidRPr="00BA784D">
        <w:rPr>
          <w:rFonts w:ascii="Times New Roman" w:eastAsia="Times New Roman" w:hAnsi="Times New Roman" w:cs="Times New Roman"/>
          <w:sz w:val="24"/>
          <w:szCs w:val="24"/>
        </w:rPr>
        <w:t>.</w:t>
      </w:r>
    </w:p>
    <w:p w14:paraId="39EF4C1D" w14:textId="2EF61ADF"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3.2.3 Actualizar y promover la realización de trámites y atención a la población a través de medios electrónicos como facilitadores del acceso a la información pública, por medio de mejoras continuas y actualizaciones al SISAI y SIGEMI</w:t>
      </w:r>
      <w:r w:rsidR="000F540F"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2C47BAD2" w14:textId="2F255064"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3.2.4-B Línea Transversal DDHH, Enfoque de Género e Inclusión Social. </w:t>
      </w:r>
      <w:r w:rsidRPr="00BA784D">
        <w:rPr>
          <w:rFonts w:ascii="Times New Roman" w:eastAsia="Times New Roman" w:hAnsi="Times New Roman" w:cs="Times New Roman"/>
          <w:sz w:val="24"/>
          <w:szCs w:val="24"/>
        </w:rPr>
        <w:t xml:space="preserve">Continuar la implementación de la PNT a nivel nacional y realizar las actualizaciones necesarias para mantener la accesibilidad y usabilidad por sus personas usuarias (en especial aquellos con alguna discapacidad o de lengua indígena), administradores y las personas del servicio público de los sujetos obligados; así como desarrollar </w:t>
      </w:r>
      <w:r w:rsidR="00C45C4A" w:rsidRPr="00BA784D">
        <w:rPr>
          <w:rFonts w:ascii="Times New Roman" w:eastAsia="Times New Roman" w:hAnsi="Times New Roman" w:cs="Times New Roman"/>
          <w:sz w:val="24"/>
          <w:szCs w:val="24"/>
        </w:rPr>
        <w:t>acciones para reducir la brecha digital</w:t>
      </w:r>
      <w:r w:rsidR="00B4124F" w:rsidRPr="00BA784D">
        <w:rPr>
          <w:rFonts w:ascii="Times New Roman" w:eastAsia="Times New Roman" w:hAnsi="Times New Roman" w:cs="Times New Roman"/>
          <w:sz w:val="24"/>
          <w:szCs w:val="24"/>
        </w:rPr>
        <w:t xml:space="preserve"> y</w:t>
      </w:r>
      <w:r w:rsidR="00C45C4A"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sz w:val="24"/>
          <w:szCs w:val="24"/>
        </w:rPr>
        <w:t>mecanismos de vinculación con los sistemas informáticos de control y gestión documental y la Plataforma Digital Nacional (PDN)</w:t>
      </w:r>
      <w:r w:rsidR="000F540F"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56D6CC4D" w14:textId="4C939E9D" w:rsidR="00E35B30" w:rsidRPr="00BA784D" w:rsidRDefault="0036612A">
      <w:pPr>
        <w:widowControl/>
        <w:spacing w:line="360" w:lineRule="auto"/>
        <w:ind w:left="672" w:right="51" w:hanging="70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3.2.5-B</w:t>
      </w:r>
      <w:r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b/>
          <w:sz w:val="24"/>
          <w:szCs w:val="24"/>
        </w:rPr>
        <w:t xml:space="preserve">Línea Transversal DDHH, Enfoque de Género e Inclusión Social. </w:t>
      </w:r>
      <w:r w:rsidRPr="00BA784D">
        <w:rPr>
          <w:rFonts w:ascii="Times New Roman" w:eastAsia="Times New Roman" w:hAnsi="Times New Roman" w:cs="Times New Roman"/>
          <w:sz w:val="24"/>
          <w:szCs w:val="24"/>
        </w:rPr>
        <w:t>Generar estrategias de inclusión digital a partir de la generación de material (infografías, videos, textos en revistas, folletos, historietas, etcétera) de los mecanismos para el ejercicio del DAI, así como los productos informativos (micrositios, estadísticas, información focalizada), cursos y asesorías que se ofrecen; asimismo, desarrollar cursos de orientación para que personas en situación de vulnerabilidad o sus familiares y/o cuidadores que puedan ayudarles a encontrar y acceder información pública sobre trámites y/o servicios en línea, mediante el uso de computadora o un teléfono móvil</w:t>
      </w:r>
      <w:r w:rsidR="00DE7F63"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096880CA" w14:textId="72F32333" w:rsidR="00E35B30" w:rsidRPr="00BA784D" w:rsidRDefault="0036612A">
      <w:pPr>
        <w:widowControl/>
        <w:spacing w:line="360" w:lineRule="auto"/>
        <w:ind w:left="680" w:right="51" w:hanging="70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3.2.6-A</w:t>
      </w:r>
      <w:r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b/>
          <w:sz w:val="24"/>
          <w:szCs w:val="24"/>
        </w:rPr>
        <w:t xml:space="preserve">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 xml:space="preserve">ransversal de Promoción, Difusión y Fomento de la Cultura. </w:t>
      </w:r>
      <w:r w:rsidRPr="00BA784D">
        <w:rPr>
          <w:rFonts w:ascii="Times New Roman" w:eastAsia="Times New Roman" w:hAnsi="Times New Roman" w:cs="Times New Roman"/>
          <w:sz w:val="24"/>
          <w:szCs w:val="24"/>
        </w:rPr>
        <w:t>Diseñar y difundir, de forma individual por integrante o en colaboración con las comisiones del SNT correspondientes, productos y materiales de comunicación sobre los mecanismos para el ejercicio del DAI, así como los productos informativos (micrositios, estadísticas, información focalizada), cursos y asesorías que ofrecen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con el fin de explicarle a las personas en situación </w:t>
      </w:r>
      <w:r w:rsidRPr="00BA784D">
        <w:rPr>
          <w:rFonts w:ascii="Times New Roman" w:eastAsia="Times New Roman" w:hAnsi="Times New Roman" w:cs="Times New Roman"/>
          <w:sz w:val="24"/>
          <w:szCs w:val="24"/>
        </w:rPr>
        <w:lastRenderedPageBreak/>
        <w:t>de vulnerabilidad la utilidad de la PNT y otras herramientas digitales, así como los beneficios que se podrían generar en su vida con el acceso a la información. Considerando mecanismos de evaluación a su difusión, conforme a la línea de acción 2.1.7-A</w:t>
      </w:r>
      <w:r w:rsidR="00DE7F63"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6500D7C3" w14:textId="576632CC"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3.2.7-C Línea Transversal de Profesionalización y Fortalecimiento Institucional: </w:t>
      </w:r>
      <w:r w:rsidRPr="00BA784D">
        <w:rPr>
          <w:rFonts w:ascii="Times New Roman" w:eastAsia="Times New Roman" w:hAnsi="Times New Roman" w:cs="Times New Roman"/>
          <w:sz w:val="24"/>
          <w:szCs w:val="24"/>
        </w:rPr>
        <w:t>Consolidar el soporte técnico, esquemas de seguridad y mecanismos de emergencia de la PNT</w:t>
      </w:r>
      <w:r w:rsidR="00DE7F63"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6C624D4C" w14:textId="2391A534"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color w:val="C00000"/>
          <w:sz w:val="24"/>
          <w:szCs w:val="24"/>
        </w:rPr>
      </w:pPr>
      <w:r w:rsidRPr="00BA784D">
        <w:rPr>
          <w:rFonts w:ascii="Times New Roman" w:eastAsia="Times New Roman" w:hAnsi="Times New Roman" w:cs="Times New Roman"/>
          <w:b/>
          <w:sz w:val="24"/>
          <w:szCs w:val="24"/>
        </w:rPr>
        <w:t xml:space="preserve">3.2.8-C Línea Transversal de Profesionalización y Fortalecimiento Institucional. </w:t>
      </w:r>
      <w:r w:rsidRPr="00BA784D">
        <w:rPr>
          <w:rFonts w:ascii="Times New Roman" w:eastAsia="Times New Roman" w:hAnsi="Times New Roman" w:cs="Times New Roman"/>
          <w:sz w:val="24"/>
          <w:szCs w:val="24"/>
        </w:rPr>
        <w:t>Consolidar los procesos de capacitación de las personas del servicio público para una adecuada administración de la PNT conforme a los esquemas desarrollados por el SNT en la línea de acción 2.1.1-C</w:t>
      </w:r>
      <w:r w:rsidR="00DE7F63"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123C474F" w14:textId="77777777" w:rsidR="00E35B30" w:rsidRPr="00BA784D" w:rsidRDefault="00E35B30">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color w:val="C00000"/>
          <w:sz w:val="24"/>
          <w:szCs w:val="24"/>
        </w:rPr>
      </w:pPr>
    </w:p>
    <w:p w14:paraId="2D886E5A" w14:textId="77777777"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Estrategias:</w:t>
      </w:r>
      <w:r w:rsidRPr="00BA784D">
        <w:rPr>
          <w:rFonts w:ascii="Times New Roman" w:eastAsia="Times New Roman" w:hAnsi="Times New Roman" w:cs="Times New Roman"/>
          <w:sz w:val="24"/>
          <w:szCs w:val="24"/>
        </w:rPr>
        <w:t xml:space="preserve"> </w:t>
      </w:r>
    </w:p>
    <w:p w14:paraId="65FE4590" w14:textId="77777777" w:rsidR="00E35B30" w:rsidRPr="00BA784D" w:rsidRDefault="0036612A">
      <w:pPr>
        <w:widowControl/>
        <w:numPr>
          <w:ilvl w:val="0"/>
          <w:numId w:val="20"/>
        </w:numPr>
        <w:spacing w:before="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Coordinación:</w:t>
      </w:r>
      <w:r w:rsidRPr="00BA784D">
        <w:rPr>
          <w:rFonts w:ascii="Times New Roman" w:eastAsia="Times New Roman" w:hAnsi="Times New Roman" w:cs="Times New Roman"/>
          <w:sz w:val="24"/>
          <w:szCs w:val="24"/>
        </w:rPr>
        <w:t xml:space="preserve"> Vinculación con instancias y Comisiones del SNT e integrantes del SNA y el SNARCH</w:t>
      </w:r>
    </w:p>
    <w:p w14:paraId="66BFA177"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Capacitación: </w:t>
      </w:r>
      <w:r w:rsidRPr="00BA784D">
        <w:rPr>
          <w:rFonts w:ascii="Times New Roman" w:eastAsia="Times New Roman" w:hAnsi="Times New Roman" w:cs="Times New Roman"/>
          <w:sz w:val="24"/>
          <w:szCs w:val="24"/>
        </w:rPr>
        <w:t xml:space="preserve">Instrumentos del SNT establecidos en la línea de acción 2.1.1-C. </w:t>
      </w:r>
    </w:p>
    <w:p w14:paraId="60A2519B" w14:textId="77777777" w:rsidR="00E35B30" w:rsidRPr="00BA784D" w:rsidRDefault="0036612A">
      <w:pPr>
        <w:widowControl/>
        <w:numPr>
          <w:ilvl w:val="0"/>
          <w:numId w:val="20"/>
        </w:numPr>
        <w:spacing w:line="360" w:lineRule="auto"/>
        <w:ind w:right="51"/>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PNT y TICs:</w:t>
      </w:r>
      <w:r w:rsidRPr="00BA784D">
        <w:rPr>
          <w:rFonts w:ascii="Times New Roman" w:eastAsia="Times New Roman" w:hAnsi="Times New Roman" w:cs="Times New Roman"/>
          <w:sz w:val="24"/>
          <w:szCs w:val="24"/>
        </w:rPr>
        <w:t xml:space="preserve"> Actualización y mejora PNT e infraestructura tecnológica. </w:t>
      </w:r>
    </w:p>
    <w:p w14:paraId="4E219F6B"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Inclusión:</w:t>
      </w:r>
      <w:r w:rsidRPr="00BA784D">
        <w:rPr>
          <w:rFonts w:ascii="Times New Roman" w:eastAsia="Times New Roman" w:hAnsi="Times New Roman" w:cs="Times New Roman"/>
          <w:sz w:val="24"/>
          <w:szCs w:val="24"/>
        </w:rPr>
        <w:t xml:space="preserve"> Emprender acciones e iniciativas dirigidas a personas en situación de vulnerabilidad.</w:t>
      </w:r>
    </w:p>
    <w:p w14:paraId="7AEDAC3A"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Comunicación: </w:t>
      </w:r>
      <w:r w:rsidRPr="00BA784D">
        <w:rPr>
          <w:rFonts w:ascii="Times New Roman" w:eastAsia="Times New Roman" w:hAnsi="Times New Roman" w:cs="Times New Roman"/>
          <w:sz w:val="24"/>
          <w:szCs w:val="24"/>
        </w:rPr>
        <w:t>Acciones coordinadas y evaluadas a nivel nacional y ajustables localmente a las necesidades de Organismos Garantes y Sujetos Obligados.</w:t>
      </w:r>
    </w:p>
    <w:p w14:paraId="0AF51D8B" w14:textId="5651D21B"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Indicador de Resultado:</w:t>
      </w:r>
      <w:r w:rsidRPr="00BA784D">
        <w:rPr>
          <w:rFonts w:ascii="Times New Roman" w:eastAsia="Times New Roman" w:hAnsi="Times New Roman" w:cs="Times New Roman"/>
          <w:sz w:val="24"/>
          <w:szCs w:val="24"/>
        </w:rPr>
        <w:t xml:space="preserve"> Índice de </w:t>
      </w:r>
      <w:r w:rsidR="000C0686" w:rsidRPr="00BA784D">
        <w:rPr>
          <w:rFonts w:ascii="Times New Roman" w:eastAsia="Times New Roman" w:hAnsi="Times New Roman" w:cs="Times New Roman"/>
          <w:sz w:val="24"/>
          <w:szCs w:val="24"/>
        </w:rPr>
        <w:t xml:space="preserve">uso de </w:t>
      </w:r>
      <w:r w:rsidRPr="00BA784D">
        <w:rPr>
          <w:rFonts w:ascii="Times New Roman" w:eastAsia="Times New Roman" w:hAnsi="Times New Roman" w:cs="Times New Roman"/>
          <w:sz w:val="24"/>
          <w:szCs w:val="24"/>
        </w:rPr>
        <w:t>Infraestructura en Tecnologías de la Información de los Organismos Garantes</w:t>
      </w:r>
    </w:p>
    <w:p w14:paraId="787B0355" w14:textId="731ACF8F"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Mide el fortalecimiento de las TIC´s para el ejercicio de las funciones de los Organismos Garantes en la garantía del DAI por medio de dos variables: 1) la proporción de Organismos Garantes que reportaron</w:t>
      </w:r>
      <w:r w:rsidR="00593A29" w:rsidRPr="00BA784D">
        <w:rPr>
          <w:rFonts w:ascii="Times New Roman" w:eastAsia="Times New Roman" w:hAnsi="Times New Roman" w:cs="Times New Roman"/>
          <w:sz w:val="24"/>
          <w:szCs w:val="24"/>
        </w:rPr>
        <w:t xml:space="preserve"> </w:t>
      </w:r>
      <w:r w:rsidR="00EE1712" w:rsidRPr="00BA784D">
        <w:rPr>
          <w:rFonts w:ascii="Times New Roman" w:eastAsia="Times New Roman" w:hAnsi="Times New Roman" w:cs="Times New Roman"/>
          <w:sz w:val="24"/>
          <w:szCs w:val="24"/>
        </w:rPr>
        <w:t>hace</w:t>
      </w:r>
      <w:r w:rsidR="000C0686" w:rsidRPr="00BA784D">
        <w:rPr>
          <w:rFonts w:ascii="Times New Roman" w:eastAsia="Times New Roman" w:hAnsi="Times New Roman" w:cs="Times New Roman"/>
          <w:sz w:val="24"/>
          <w:szCs w:val="24"/>
        </w:rPr>
        <w:t>r</w:t>
      </w:r>
      <w:r w:rsidR="00EE1712" w:rsidRPr="00BA784D">
        <w:rPr>
          <w:rFonts w:ascii="Times New Roman" w:eastAsia="Times New Roman" w:hAnsi="Times New Roman" w:cs="Times New Roman"/>
          <w:sz w:val="24"/>
          <w:szCs w:val="24"/>
        </w:rPr>
        <w:t xml:space="preserve"> uso de la</w:t>
      </w:r>
      <w:r w:rsidRPr="00BA784D">
        <w:rPr>
          <w:rFonts w:ascii="Times New Roman" w:eastAsia="Times New Roman" w:hAnsi="Times New Roman" w:cs="Times New Roman"/>
          <w:sz w:val="24"/>
          <w:szCs w:val="24"/>
        </w:rPr>
        <w:t xml:space="preserve"> infraestructura tecnológica destinada al sistema INFOMEX u otras aplicaciones similares; y 2) la proporción de Organismos Garantes que reportaron </w:t>
      </w:r>
      <w:r w:rsidR="000C0686" w:rsidRPr="00BA784D">
        <w:rPr>
          <w:rFonts w:ascii="Times New Roman" w:eastAsia="Times New Roman" w:hAnsi="Times New Roman" w:cs="Times New Roman"/>
          <w:sz w:val="24"/>
          <w:szCs w:val="24"/>
        </w:rPr>
        <w:t xml:space="preserve">hacer uso del </w:t>
      </w:r>
      <w:r w:rsidRPr="00BA784D">
        <w:rPr>
          <w:rFonts w:ascii="Times New Roman" w:eastAsia="Times New Roman" w:hAnsi="Times New Roman" w:cs="Times New Roman"/>
          <w:sz w:val="24"/>
          <w:szCs w:val="24"/>
        </w:rPr>
        <w:t>servicio de internet institucional.</w:t>
      </w:r>
    </w:p>
    <w:p w14:paraId="223BC9AB" w14:textId="2B94EBD9"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Línea Base:</w:t>
      </w:r>
      <w:r w:rsidRPr="00BA784D">
        <w:rPr>
          <w:rFonts w:ascii="Times New Roman" w:eastAsia="Times New Roman" w:hAnsi="Times New Roman" w:cs="Times New Roman"/>
          <w:sz w:val="24"/>
          <w:szCs w:val="24"/>
        </w:rPr>
        <w:t xml:space="preserve"> </w:t>
      </w:r>
      <w:r w:rsidR="0093345B" w:rsidRPr="00BA784D">
        <w:rPr>
          <w:rFonts w:ascii="Times New Roman" w:eastAsia="Times New Roman" w:hAnsi="Times New Roman" w:cs="Times New Roman"/>
          <w:sz w:val="24"/>
          <w:szCs w:val="24"/>
        </w:rPr>
        <w:t>1. 72.72</w:t>
      </w:r>
      <w:r w:rsidRPr="00BA784D">
        <w:rPr>
          <w:rFonts w:ascii="Times New Roman" w:eastAsia="Times New Roman" w:hAnsi="Times New Roman" w:cs="Times New Roman"/>
          <w:sz w:val="24"/>
          <w:szCs w:val="24"/>
        </w:rPr>
        <w:t>%,</w:t>
      </w:r>
      <w:r w:rsidR="0093345B" w:rsidRPr="00BA784D">
        <w:rPr>
          <w:rFonts w:ascii="Times New Roman" w:eastAsia="Times New Roman" w:hAnsi="Times New Roman" w:cs="Times New Roman"/>
          <w:sz w:val="24"/>
          <w:szCs w:val="24"/>
        </w:rPr>
        <w:t xml:space="preserve"> 2. 96.96%</w:t>
      </w:r>
      <w:r w:rsidRPr="00BA784D">
        <w:rPr>
          <w:rFonts w:ascii="Times New Roman" w:eastAsia="Times New Roman" w:hAnsi="Times New Roman" w:cs="Times New Roman"/>
          <w:sz w:val="24"/>
          <w:szCs w:val="24"/>
        </w:rPr>
        <w:t xml:space="preserve"> CNTAI</w:t>
      </w:r>
      <w:r w:rsidR="00FD69BE" w:rsidRPr="00BA784D">
        <w:rPr>
          <w:rFonts w:ascii="Times New Roman" w:eastAsia="Times New Roman" w:hAnsi="Times New Roman" w:cs="Times New Roman"/>
          <w:sz w:val="24"/>
          <w:szCs w:val="24"/>
        </w:rPr>
        <w:t>PPDPF y CNTAIPPDPE</w:t>
      </w:r>
      <w:r w:rsidRPr="00BA784D">
        <w:rPr>
          <w:rFonts w:ascii="Times New Roman" w:eastAsia="Times New Roman" w:hAnsi="Times New Roman" w:cs="Times New Roman"/>
          <w:sz w:val="24"/>
          <w:szCs w:val="24"/>
        </w:rPr>
        <w:t xml:space="preserve"> 2020.</w:t>
      </w:r>
      <w:r w:rsidRPr="00BA784D">
        <w:br w:type="page"/>
      </w:r>
    </w:p>
    <w:p w14:paraId="6AB46D46" w14:textId="77777777" w:rsidR="00E35B30" w:rsidRPr="00BA784D" w:rsidRDefault="0036612A">
      <w:pPr>
        <w:pStyle w:val="Ttulo3"/>
      </w:pPr>
      <w:bookmarkStart w:id="22" w:name="_Toc102051231"/>
      <w:r w:rsidRPr="00BA784D">
        <w:lastRenderedPageBreak/>
        <w:t>3.3 TRANSPARENCIA PROACTIVA</w:t>
      </w:r>
      <w:bookmarkEnd w:id="22"/>
      <w:r w:rsidRPr="00BA784D">
        <w:t xml:space="preserve"> </w:t>
      </w:r>
    </w:p>
    <w:p w14:paraId="26D11390" w14:textId="0B28BC67"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Síntesis de la problemática identificada en el diagnóstico:</w:t>
      </w:r>
      <w:r w:rsidRPr="00BA784D">
        <w:rPr>
          <w:rFonts w:ascii="Times New Roman" w:eastAsia="Times New Roman" w:hAnsi="Times New Roman" w:cs="Times New Roman"/>
          <w:sz w:val="24"/>
          <w:szCs w:val="24"/>
        </w:rPr>
        <w:t xml:space="preserve"> En el proceso de diagnóstico para la elaboración de este programa se identificó un crecimiento importante del componente de Transparencia Proactiva en la Métrica de Gobierno Abierto, al pasar de 0.15 en 2017 a 0.53 en 2019; sin embargo se identificó que los Sujetos Obligados no enfocan sus acciones a necesidades específicas de información de la ciudadanía, pues sigue en desarrollo </w:t>
      </w:r>
      <w:r w:rsidRPr="00BA784D">
        <w:rPr>
          <w:rFonts w:ascii="Times New Roman" w:eastAsia="Times New Roman" w:hAnsi="Times New Roman" w:cs="Times New Roman"/>
          <w:i/>
          <w:sz w:val="24"/>
          <w:szCs w:val="24"/>
        </w:rPr>
        <w:t>la homogeneización de procedimientos para detectar necesidades y obstáculos de uso de información de su población objetivo o potencial</w:t>
      </w:r>
      <w:r w:rsidRPr="00BA784D">
        <w:rPr>
          <w:rFonts w:ascii="Times New Roman" w:eastAsia="Times New Roman" w:hAnsi="Times New Roman" w:cs="Times New Roman"/>
          <w:sz w:val="24"/>
          <w:szCs w:val="24"/>
        </w:rPr>
        <w:t xml:space="preserve">. Destaca que, durante la ejecución del programa anterior, la línea de acción </w:t>
      </w:r>
      <w:r w:rsidRPr="00BA784D">
        <w:rPr>
          <w:rFonts w:ascii="Times New Roman" w:eastAsia="Times New Roman" w:hAnsi="Times New Roman" w:cs="Times New Roman"/>
          <w:i/>
          <w:sz w:val="24"/>
          <w:szCs w:val="24"/>
        </w:rPr>
        <w:t>3.6 Consolidar la capacitación de las y las personas del servicio público en materia de transparencia proactiva</w:t>
      </w:r>
      <w:r w:rsidRPr="00BA784D">
        <w:rPr>
          <w:rFonts w:ascii="Times New Roman" w:eastAsia="Times New Roman" w:hAnsi="Times New Roman" w:cs="Times New Roman"/>
          <w:sz w:val="24"/>
          <w:szCs w:val="24"/>
        </w:rPr>
        <w:t xml:space="preserve"> es la que suma menos actividades de todas (13) y solo son 4 los Organismos Garantes que tienen resultados. Sobresale el hecho de que en materia de capacitación sobre transparencia proactiva un 87.5% de los Organismos Garantes </w:t>
      </w:r>
      <w:r w:rsidR="00404DD0" w:rsidRPr="00BA784D">
        <w:rPr>
          <w:rFonts w:ascii="Times New Roman" w:eastAsia="Times New Roman" w:hAnsi="Times New Roman" w:cs="Times New Roman"/>
          <w:sz w:val="24"/>
          <w:szCs w:val="24"/>
        </w:rPr>
        <w:t>L</w:t>
      </w:r>
      <w:r w:rsidRPr="00BA784D">
        <w:rPr>
          <w:rFonts w:ascii="Times New Roman" w:eastAsia="Times New Roman" w:hAnsi="Times New Roman" w:cs="Times New Roman"/>
          <w:sz w:val="24"/>
          <w:szCs w:val="24"/>
        </w:rPr>
        <w:t>ocales no realizó ninguna actividad.</w:t>
      </w:r>
    </w:p>
    <w:p w14:paraId="3DE83BD4" w14:textId="77777777" w:rsidR="00E35B30" w:rsidRPr="00BA784D" w:rsidRDefault="0036612A">
      <w:pPr>
        <w:widowControl/>
        <w:spacing w:before="280" w:after="280" w:line="360" w:lineRule="auto"/>
        <w:jc w:val="both"/>
        <w:rPr>
          <w:rFonts w:ascii="Times New Roman" w:eastAsia="Times New Roman" w:hAnsi="Times New Roman" w:cs="Times New Roman"/>
          <w:b/>
          <w:i/>
          <w:sz w:val="24"/>
          <w:szCs w:val="24"/>
        </w:rPr>
      </w:pPr>
      <w:r w:rsidRPr="00BA784D">
        <w:rPr>
          <w:rFonts w:ascii="Times New Roman" w:eastAsia="Times New Roman" w:hAnsi="Times New Roman" w:cs="Times New Roman"/>
          <w:b/>
          <w:i/>
          <w:sz w:val="24"/>
          <w:szCs w:val="24"/>
        </w:rPr>
        <w:t>Objetivo Estratégico 3.3 Promover que la información generada y divulgada coadyuve a la toma de decisiones, reduzca las barreras de acceso a la información pública y resuelva problemáticas sociales específicas.</w:t>
      </w:r>
    </w:p>
    <w:p w14:paraId="114BF68E" w14:textId="77777777" w:rsidR="00E35B30" w:rsidRPr="00BA784D" w:rsidRDefault="0036612A">
      <w:pPr>
        <w:widowControl/>
        <w:spacing w:before="280"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Líneas de acción:</w:t>
      </w:r>
    </w:p>
    <w:p w14:paraId="2A3E6474" w14:textId="1FAD994F"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3.3.1 Mantener el desarrollo de instrumentos de diagnóstico, monitoreo y seguimiento de la implementación de las Políticas Nacionales de Estado Abierto y Transparencia Proactiva</w:t>
      </w:r>
      <w:r w:rsidR="00DE7F63"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36A078D4" w14:textId="367BB257"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3.3.2 Consolidar los procesos para la implementación, verificación, evaluación y reconocimiento de actividades de Transparencia Proactiva de forma nacional incrementando la participación ciudadana</w:t>
      </w:r>
      <w:r w:rsidR="00DE7F63"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454829D1" w14:textId="11EF58E1"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3.3.3 Consolidar el desarrollo y actualización de los repositorios nacionales de información y difusión de prácticas de Transparencia Proactiva, para su documentación y socialización. Así como la inclusión de prácticas desarrolladas respecto a información de interés para la sociedad de otros Sistemas Nacionales</w:t>
      </w:r>
      <w:r w:rsidR="00DE7F63"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7C7917BB" w14:textId="62BB5A67"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color w:val="000000"/>
          <w:sz w:val="24"/>
          <w:szCs w:val="24"/>
        </w:rPr>
        <w:lastRenderedPageBreak/>
        <w:t xml:space="preserve">3.3.4 </w:t>
      </w:r>
      <w:r w:rsidRPr="00BA784D">
        <w:rPr>
          <w:rFonts w:ascii="Times New Roman" w:eastAsia="Times New Roman" w:hAnsi="Times New Roman" w:cs="Times New Roman"/>
          <w:sz w:val="24"/>
          <w:szCs w:val="24"/>
        </w:rPr>
        <w:t>Llevar a cabo intervenciones de Transparencia Proactiva en colaboración con sujetos obligados especializados y participación social para su asesoramiento y acompañamiento en la implementación de acciones y estrategias</w:t>
      </w:r>
      <w:r w:rsidR="00126AD0"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4C9054D9" w14:textId="23B1892C"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b/>
          <w:color w:val="000000"/>
          <w:sz w:val="24"/>
          <w:szCs w:val="24"/>
        </w:rPr>
        <w:t>3.3.5-B</w:t>
      </w:r>
      <w:r w:rsidRPr="00BA784D">
        <w:rPr>
          <w:rFonts w:ascii="Times New Roman" w:eastAsia="Times New Roman" w:hAnsi="Times New Roman" w:cs="Times New Roman"/>
          <w:color w:val="000000"/>
          <w:sz w:val="24"/>
          <w:szCs w:val="24"/>
        </w:rPr>
        <w:t xml:space="preserve"> </w:t>
      </w:r>
      <w:r w:rsidRPr="00BA784D">
        <w:rPr>
          <w:rFonts w:ascii="Times New Roman" w:eastAsia="Times New Roman" w:hAnsi="Times New Roman" w:cs="Times New Roman"/>
          <w:b/>
          <w:color w:val="000000"/>
          <w:sz w:val="24"/>
          <w:szCs w:val="24"/>
        </w:rPr>
        <w:t xml:space="preserve">Línea Transversal DDHH, Enfoque de Género e Inclusión Social. </w:t>
      </w:r>
      <w:r w:rsidRPr="00BA784D">
        <w:rPr>
          <w:rFonts w:ascii="Times New Roman" w:eastAsia="Times New Roman" w:hAnsi="Times New Roman" w:cs="Times New Roman"/>
          <w:color w:val="000000"/>
          <w:sz w:val="24"/>
          <w:szCs w:val="24"/>
        </w:rPr>
        <w:t xml:space="preserve">Propiciar iniciativas de colaboración con personas en situación de vulnerabilidad para dotar de utilidad </w:t>
      </w:r>
      <w:r w:rsidRPr="00BA784D">
        <w:rPr>
          <w:rFonts w:ascii="Times New Roman" w:eastAsia="Times New Roman" w:hAnsi="Times New Roman" w:cs="Times New Roman"/>
          <w:sz w:val="24"/>
          <w:szCs w:val="24"/>
        </w:rPr>
        <w:t>social a</w:t>
      </w:r>
      <w:r w:rsidRPr="00BA784D">
        <w:rPr>
          <w:rFonts w:ascii="Times New Roman" w:eastAsia="Times New Roman" w:hAnsi="Times New Roman" w:cs="Times New Roman"/>
          <w:color w:val="000000"/>
          <w:sz w:val="24"/>
          <w:szCs w:val="24"/>
        </w:rPr>
        <w:t xml:space="preserve"> los ejercicios de Transparencia Proactiva y reducir las brechas informativas que </w:t>
      </w:r>
      <w:r w:rsidRPr="00BA784D">
        <w:rPr>
          <w:rFonts w:ascii="Times New Roman" w:eastAsia="Times New Roman" w:hAnsi="Times New Roman" w:cs="Times New Roman"/>
          <w:sz w:val="24"/>
          <w:szCs w:val="24"/>
        </w:rPr>
        <w:t>generan</w:t>
      </w:r>
      <w:r w:rsidRPr="00BA784D">
        <w:rPr>
          <w:rFonts w:ascii="Times New Roman" w:eastAsia="Times New Roman" w:hAnsi="Times New Roman" w:cs="Times New Roman"/>
          <w:color w:val="000000"/>
          <w:sz w:val="24"/>
          <w:szCs w:val="24"/>
        </w:rPr>
        <w:t xml:space="preserve"> </w:t>
      </w:r>
      <w:r w:rsidRPr="00BA784D">
        <w:rPr>
          <w:rFonts w:ascii="Times New Roman" w:eastAsia="Times New Roman" w:hAnsi="Times New Roman" w:cs="Times New Roman"/>
          <w:sz w:val="24"/>
          <w:szCs w:val="24"/>
        </w:rPr>
        <w:t>desigualdad</w:t>
      </w:r>
      <w:r w:rsidRPr="00BA784D">
        <w:rPr>
          <w:rFonts w:ascii="Times New Roman" w:eastAsia="Times New Roman" w:hAnsi="Times New Roman" w:cs="Times New Roman"/>
          <w:color w:val="000000"/>
          <w:sz w:val="24"/>
          <w:szCs w:val="24"/>
        </w:rPr>
        <w:t xml:space="preserve"> en el ejercicio de sus derechos; se recomienda que dichas acciones se </w:t>
      </w:r>
      <w:r w:rsidRPr="00BA784D">
        <w:rPr>
          <w:rFonts w:ascii="Times New Roman" w:eastAsia="Times New Roman" w:hAnsi="Times New Roman" w:cs="Times New Roman"/>
          <w:sz w:val="24"/>
          <w:szCs w:val="24"/>
        </w:rPr>
        <w:t>amplíen de los colaboradores y grupos habituales para llegar a personas en situación de pobreza, niñas, niños y adolescentes, diversidad sexual, origen rural, entre otros</w:t>
      </w:r>
      <w:r w:rsidR="00126AD0"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color w:val="000000"/>
          <w:sz w:val="24"/>
          <w:szCs w:val="24"/>
        </w:rPr>
        <w:t>.</w:t>
      </w:r>
    </w:p>
    <w:p w14:paraId="5813E2AB" w14:textId="4DC94CB5"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color w:val="000000"/>
          <w:sz w:val="24"/>
          <w:szCs w:val="24"/>
        </w:rPr>
        <w:t xml:space="preserve">3.3.6-B </w:t>
      </w:r>
      <w:r w:rsidRPr="00BA784D">
        <w:rPr>
          <w:rFonts w:ascii="Times New Roman" w:eastAsia="Times New Roman" w:hAnsi="Times New Roman" w:cs="Times New Roman"/>
          <w:b/>
          <w:sz w:val="24"/>
          <w:szCs w:val="24"/>
        </w:rPr>
        <w:t xml:space="preserve">Línea Transversal DDHH, Enfoque de Género e Inclusión Social. </w:t>
      </w:r>
      <w:r w:rsidRPr="00BA784D">
        <w:rPr>
          <w:rFonts w:ascii="Times New Roman" w:eastAsia="Times New Roman" w:hAnsi="Times New Roman" w:cs="Times New Roman"/>
          <w:sz w:val="24"/>
          <w:szCs w:val="24"/>
        </w:rPr>
        <w:t>Establecer perfiles de personas usuarias y para construir fuentes con información de calidad, inclusión, accesibilidad, así como conocimiento público en temas de interés de la sociedad, con atención al contexto social en que se desenvuelven los sujetos obligados, para reducir las brechas en el acceso a la información pública, resolver problemas sociales y sensibilizar en materia de discriminación y violencia por razón de género con un enfoque de derechos humanos, igualdad y género</w:t>
      </w:r>
      <w:r w:rsidR="00C45C4A" w:rsidRPr="00BA784D">
        <w:rPr>
          <w:rFonts w:ascii="Times New Roman" w:eastAsia="Times New Roman" w:hAnsi="Times New Roman" w:cs="Times New Roman"/>
          <w:sz w:val="24"/>
          <w:szCs w:val="24"/>
        </w:rPr>
        <w:t>;</w:t>
      </w:r>
      <w:r w:rsidR="00593A29" w:rsidRPr="00BA784D">
        <w:rPr>
          <w:rFonts w:ascii="Times New Roman" w:eastAsia="Times New Roman" w:hAnsi="Times New Roman" w:cs="Times New Roman"/>
          <w:sz w:val="24"/>
          <w:szCs w:val="24"/>
        </w:rPr>
        <w:t xml:space="preserve"> </w:t>
      </w:r>
      <w:r w:rsidR="00C45C4A" w:rsidRPr="00BA784D">
        <w:rPr>
          <w:rFonts w:ascii="Times New Roman" w:eastAsia="Times New Roman" w:hAnsi="Times New Roman" w:cs="Times New Roman"/>
          <w:sz w:val="24"/>
          <w:szCs w:val="24"/>
        </w:rPr>
        <w:t>así como  acciones de acercamiento con sociedad civil en general, que guíen sobre la información que los grupos en situación de vulnerabilidad particularmente  consideren como útil</w:t>
      </w:r>
      <w:r w:rsidR="00126AD0" w:rsidRPr="00BA784D">
        <w:rPr>
          <w:rFonts w:ascii="Times New Roman" w:eastAsia="Times New Roman" w:hAnsi="Times New Roman" w:cs="Times New Roman"/>
          <w:sz w:val="24"/>
          <w:szCs w:val="24"/>
        </w:rPr>
        <w:t xml:space="preserve"> (INAI, OGL)</w:t>
      </w:r>
      <w:r w:rsidR="00C45C4A" w:rsidRPr="00BA784D">
        <w:rPr>
          <w:rFonts w:ascii="Times New Roman" w:eastAsia="Times New Roman" w:hAnsi="Times New Roman" w:cs="Times New Roman"/>
          <w:color w:val="FF0000"/>
          <w:sz w:val="24"/>
          <w:szCs w:val="24"/>
        </w:rPr>
        <w:t>.</w:t>
      </w:r>
    </w:p>
    <w:p w14:paraId="0DEBB229" w14:textId="749491F8"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b/>
          <w:color w:val="000000"/>
          <w:sz w:val="24"/>
          <w:szCs w:val="24"/>
        </w:rPr>
        <w:t xml:space="preserve">3.3.7-C Línea Transversal de Profesionalización y Fortalecimiento Institucional. </w:t>
      </w:r>
      <w:r w:rsidRPr="00BA784D">
        <w:rPr>
          <w:rFonts w:ascii="Times New Roman" w:eastAsia="Times New Roman" w:hAnsi="Times New Roman" w:cs="Times New Roman"/>
          <w:color w:val="000000"/>
          <w:sz w:val="24"/>
          <w:szCs w:val="24"/>
        </w:rPr>
        <w:t xml:space="preserve">Consolidar los procesos de capacitación de </w:t>
      </w:r>
      <w:r w:rsidRPr="00BA784D">
        <w:rPr>
          <w:rFonts w:ascii="Times New Roman" w:eastAsia="Times New Roman" w:hAnsi="Times New Roman" w:cs="Times New Roman"/>
          <w:sz w:val="24"/>
          <w:szCs w:val="24"/>
        </w:rPr>
        <w:t>las personas del servicio público</w:t>
      </w:r>
      <w:r w:rsidRPr="00BA784D">
        <w:rPr>
          <w:rFonts w:ascii="Times New Roman" w:eastAsia="Times New Roman" w:hAnsi="Times New Roman" w:cs="Times New Roman"/>
          <w:color w:val="000000"/>
          <w:sz w:val="24"/>
          <w:szCs w:val="24"/>
        </w:rPr>
        <w:t xml:space="preserve"> y sociedad civil en las acciones de Transparencia Proactiva conforme a los esquemas desarrollados por el SNT (líneas de acción 2.1.1-C y 2.1.5-B)</w:t>
      </w:r>
      <w:r w:rsidR="00126AD0" w:rsidRPr="00BA784D">
        <w:rPr>
          <w:rFonts w:ascii="Times New Roman" w:eastAsia="Times New Roman" w:hAnsi="Times New Roman" w:cs="Times New Roman"/>
          <w:color w:val="000000"/>
          <w:sz w:val="24"/>
          <w:szCs w:val="24"/>
        </w:rPr>
        <w:t xml:space="preserve"> </w:t>
      </w:r>
      <w:r w:rsidR="00126AD0" w:rsidRPr="00BA784D">
        <w:rPr>
          <w:rFonts w:ascii="Times New Roman" w:eastAsia="Times New Roman" w:hAnsi="Times New Roman" w:cs="Times New Roman"/>
          <w:sz w:val="24"/>
          <w:szCs w:val="24"/>
        </w:rPr>
        <w:t>(INAI, OGL)</w:t>
      </w:r>
      <w:r w:rsidRPr="00BA784D">
        <w:rPr>
          <w:rFonts w:ascii="Times New Roman" w:eastAsia="Times New Roman" w:hAnsi="Times New Roman" w:cs="Times New Roman"/>
          <w:color w:val="000000"/>
          <w:sz w:val="24"/>
          <w:szCs w:val="24"/>
        </w:rPr>
        <w:t xml:space="preserve">. </w:t>
      </w:r>
    </w:p>
    <w:p w14:paraId="261E81EC" w14:textId="4D74069F"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b/>
          <w:color w:val="000000"/>
          <w:sz w:val="24"/>
          <w:szCs w:val="24"/>
        </w:rPr>
        <w:t xml:space="preserve">3.3.8-A Línea </w:t>
      </w:r>
      <w:r w:rsidR="009E6923" w:rsidRPr="00BA784D">
        <w:rPr>
          <w:rFonts w:ascii="Times New Roman" w:eastAsia="Times New Roman" w:hAnsi="Times New Roman" w:cs="Times New Roman"/>
          <w:b/>
          <w:color w:val="000000"/>
          <w:sz w:val="24"/>
          <w:szCs w:val="24"/>
        </w:rPr>
        <w:t>T</w:t>
      </w:r>
      <w:r w:rsidRPr="00BA784D">
        <w:rPr>
          <w:rFonts w:ascii="Times New Roman" w:eastAsia="Times New Roman" w:hAnsi="Times New Roman" w:cs="Times New Roman"/>
          <w:b/>
          <w:color w:val="000000"/>
          <w:sz w:val="24"/>
          <w:szCs w:val="24"/>
        </w:rPr>
        <w:t xml:space="preserve">ransversal de Promoción, Difusión y Fomento de la Cultura. </w:t>
      </w:r>
      <w:r w:rsidRPr="00BA784D">
        <w:rPr>
          <w:rFonts w:ascii="Times New Roman" w:eastAsia="Times New Roman" w:hAnsi="Times New Roman" w:cs="Times New Roman"/>
          <w:color w:val="000000"/>
          <w:sz w:val="24"/>
          <w:szCs w:val="24"/>
        </w:rPr>
        <w:t>Generar y difundir,</w:t>
      </w:r>
      <w:r w:rsidRPr="00BA784D">
        <w:rPr>
          <w:rFonts w:ascii="Times New Roman" w:eastAsia="Times New Roman" w:hAnsi="Times New Roman" w:cs="Times New Roman"/>
          <w:sz w:val="24"/>
          <w:szCs w:val="24"/>
        </w:rPr>
        <w:t xml:space="preserve"> de forma individual por integrante o </w:t>
      </w:r>
      <w:r w:rsidRPr="00BA784D">
        <w:rPr>
          <w:rFonts w:ascii="Times New Roman" w:eastAsia="Times New Roman" w:hAnsi="Times New Roman" w:cs="Times New Roman"/>
          <w:color w:val="000000"/>
          <w:sz w:val="24"/>
          <w:szCs w:val="24"/>
        </w:rPr>
        <w:t xml:space="preserve">en colaboración con las comisiones del SNT correspondientes, productos y materiales de comunicación sobre Transparencia Proactiva y su impacto en el acceso a la información pública </w:t>
      </w:r>
      <w:r w:rsidRPr="00BA784D">
        <w:rPr>
          <w:rFonts w:ascii="Times New Roman" w:eastAsia="Times New Roman" w:hAnsi="Times New Roman" w:cs="Times New Roman"/>
          <w:sz w:val="24"/>
          <w:szCs w:val="24"/>
        </w:rPr>
        <w:t>ajustables por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o sus sujetos obligados y considerando mecanismos </w:t>
      </w:r>
      <w:r w:rsidR="0073046E" w:rsidRPr="00BA784D">
        <w:rPr>
          <w:rFonts w:ascii="Times New Roman" w:eastAsia="Times New Roman" w:hAnsi="Times New Roman" w:cs="Times New Roman"/>
          <w:sz w:val="24"/>
          <w:szCs w:val="24"/>
        </w:rPr>
        <w:t xml:space="preserve">de </w:t>
      </w:r>
      <w:r w:rsidRPr="00BA784D">
        <w:rPr>
          <w:rFonts w:ascii="Times New Roman" w:eastAsia="Times New Roman" w:hAnsi="Times New Roman" w:cs="Times New Roman"/>
          <w:sz w:val="24"/>
          <w:szCs w:val="24"/>
        </w:rPr>
        <w:t>evaluación a su difusión,</w:t>
      </w:r>
      <w:r w:rsidRPr="00BA784D">
        <w:rPr>
          <w:rFonts w:ascii="Times New Roman" w:eastAsia="Times New Roman" w:hAnsi="Times New Roman" w:cs="Times New Roman"/>
          <w:color w:val="000000"/>
          <w:sz w:val="24"/>
          <w:szCs w:val="24"/>
        </w:rPr>
        <w:t xml:space="preserve"> conforme a la línea de acción 2.1.7-A</w:t>
      </w:r>
      <w:r w:rsidR="00126AD0" w:rsidRPr="00BA784D">
        <w:rPr>
          <w:rFonts w:ascii="Times New Roman" w:eastAsia="Times New Roman" w:hAnsi="Times New Roman" w:cs="Times New Roman"/>
          <w:color w:val="000000"/>
          <w:sz w:val="24"/>
          <w:szCs w:val="24"/>
        </w:rPr>
        <w:t xml:space="preserve"> </w:t>
      </w:r>
      <w:r w:rsidR="00126AD0" w:rsidRPr="00BA784D">
        <w:rPr>
          <w:rFonts w:ascii="Times New Roman" w:eastAsia="Times New Roman" w:hAnsi="Times New Roman" w:cs="Times New Roman"/>
          <w:sz w:val="24"/>
          <w:szCs w:val="24"/>
        </w:rPr>
        <w:t>(INAI, OGL)</w:t>
      </w:r>
      <w:r w:rsidRPr="00BA784D">
        <w:rPr>
          <w:rFonts w:ascii="Times New Roman" w:eastAsia="Times New Roman" w:hAnsi="Times New Roman" w:cs="Times New Roman"/>
          <w:color w:val="000000"/>
          <w:sz w:val="24"/>
          <w:szCs w:val="24"/>
        </w:rPr>
        <w:t>.</w:t>
      </w:r>
    </w:p>
    <w:p w14:paraId="7B6B08F5" w14:textId="4681B87C"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color w:val="000000"/>
          <w:sz w:val="24"/>
          <w:szCs w:val="24"/>
        </w:rPr>
        <w:lastRenderedPageBreak/>
        <w:t xml:space="preserve">3.3.9 </w:t>
      </w:r>
      <w:r w:rsidRPr="00BA784D">
        <w:rPr>
          <w:rFonts w:ascii="Times New Roman" w:eastAsia="Times New Roman" w:hAnsi="Times New Roman" w:cs="Times New Roman"/>
          <w:sz w:val="24"/>
          <w:szCs w:val="24"/>
        </w:rPr>
        <w:t>Establecer categorías para dotar de utilidad social de la información contenida en las obligaciones de transparencia y construir fuentes con información de calidad, inclusión, accesibilidad, así como conocimiento público en temas de interés de la sociedad para reducir las brechas en el acceso a la información pública con la rendición de cuentas y la integridad pública</w:t>
      </w:r>
      <w:r w:rsidR="00126AD0"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5443911E" w14:textId="77777777"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3.3.10 Priorizar la participación ciudadana como elemento clave para el fortalecimiento de las políticas de Transparencia Focalizada desarrollando las siguientes herramientas:</w:t>
      </w:r>
    </w:p>
    <w:p w14:paraId="3F231E50" w14:textId="77777777" w:rsidR="00E35B30" w:rsidRPr="00BA784D" w:rsidRDefault="0036612A">
      <w:pPr>
        <w:widowControl/>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Análisis de solicitudes de información con herramientas de análisis de datos.</w:t>
      </w:r>
    </w:p>
    <w:p w14:paraId="414ECAEA" w14:textId="77777777" w:rsidR="00E35B30" w:rsidRPr="00BA784D" w:rsidRDefault="0036612A">
      <w:pPr>
        <w:widowControl/>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Desarrollar espacios de contacto ciudadano a partir de las propias funciones de los Sujetos Obligados.</w:t>
      </w:r>
    </w:p>
    <w:p w14:paraId="06CB4369" w14:textId="77777777" w:rsidR="00E35B30" w:rsidRPr="00BA784D" w:rsidRDefault="0036612A">
      <w:pPr>
        <w:widowControl/>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Realizar minería de información en buscadores y redes sociales.</w:t>
      </w:r>
    </w:p>
    <w:p w14:paraId="3EE5C2CD" w14:textId="63F223BF" w:rsidR="00E35B30" w:rsidRPr="00BA784D" w:rsidRDefault="0036612A">
      <w:pPr>
        <w:widowControl/>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Repensar la comunicación social institucional para llevar información a la ciudadanía</w:t>
      </w:r>
      <w:r w:rsidR="00126AD0"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0F6EFA08" w14:textId="7ECE6989" w:rsidR="00E35B30" w:rsidRPr="00BA784D" w:rsidRDefault="006B64C2">
      <w:pPr>
        <w:widowControl/>
        <w:pBdr>
          <w:top w:val="nil"/>
          <w:left w:val="nil"/>
          <w:bottom w:val="nil"/>
          <w:right w:val="nil"/>
          <w:between w:val="nil"/>
        </w:pBdr>
        <w:spacing w:line="360" w:lineRule="auto"/>
        <w:ind w:right="51"/>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3.3.11</w:t>
      </w:r>
      <w:r w:rsidR="002213E8" w:rsidRPr="00BA784D">
        <w:rPr>
          <w:rFonts w:ascii="Times New Roman" w:eastAsia="Times New Roman" w:hAnsi="Times New Roman" w:cs="Times New Roman"/>
          <w:sz w:val="24"/>
          <w:szCs w:val="24"/>
        </w:rPr>
        <w:t xml:space="preserve"> Brindar acompañamiento especializado para impulsar procesos locales de evaluación y reconocimiento de prácticas de Transparencia Proactiva</w:t>
      </w:r>
      <w:r w:rsidR="00126AD0" w:rsidRPr="00BA784D">
        <w:rPr>
          <w:rFonts w:ascii="Times New Roman" w:eastAsia="Times New Roman" w:hAnsi="Times New Roman" w:cs="Times New Roman"/>
          <w:sz w:val="24"/>
          <w:szCs w:val="24"/>
        </w:rPr>
        <w:t xml:space="preserve"> (INAI, OGL)</w:t>
      </w:r>
      <w:r w:rsidR="002213E8" w:rsidRPr="00BA784D">
        <w:rPr>
          <w:rFonts w:ascii="Times New Roman" w:eastAsia="Times New Roman" w:hAnsi="Times New Roman" w:cs="Times New Roman"/>
          <w:sz w:val="24"/>
          <w:szCs w:val="24"/>
        </w:rPr>
        <w:t>.</w:t>
      </w:r>
    </w:p>
    <w:p w14:paraId="2F7ACA4B" w14:textId="77777777" w:rsidR="00E35B30" w:rsidRPr="00BA784D" w:rsidRDefault="0036612A">
      <w:pPr>
        <w:widowControl/>
        <w:spacing w:line="360" w:lineRule="auto"/>
        <w:ind w:left="680" w:right="51"/>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Estrategias:</w:t>
      </w:r>
      <w:r w:rsidRPr="00BA784D">
        <w:rPr>
          <w:rFonts w:ascii="Times New Roman" w:eastAsia="Times New Roman" w:hAnsi="Times New Roman" w:cs="Times New Roman"/>
          <w:sz w:val="24"/>
          <w:szCs w:val="24"/>
        </w:rPr>
        <w:t xml:space="preserve"> </w:t>
      </w:r>
    </w:p>
    <w:p w14:paraId="14AF5A5E" w14:textId="77777777" w:rsidR="00E35B30" w:rsidRPr="00BA784D" w:rsidRDefault="0036612A">
      <w:pPr>
        <w:widowControl/>
        <w:numPr>
          <w:ilvl w:val="0"/>
          <w:numId w:val="20"/>
        </w:numPr>
        <w:spacing w:before="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Socialización: </w:t>
      </w:r>
      <w:r w:rsidRPr="00BA784D">
        <w:rPr>
          <w:rFonts w:ascii="Times New Roman" w:eastAsia="Times New Roman" w:hAnsi="Times New Roman" w:cs="Times New Roman"/>
          <w:sz w:val="24"/>
          <w:szCs w:val="24"/>
        </w:rPr>
        <w:t xml:space="preserve">Establecimiento de alianzas, convenios e iniciativas con instituciones, organizaciones y personas. </w:t>
      </w:r>
    </w:p>
    <w:p w14:paraId="262A87B1"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Coordinación:</w:t>
      </w:r>
      <w:r w:rsidRPr="00BA784D">
        <w:rPr>
          <w:rFonts w:ascii="Times New Roman" w:eastAsia="Times New Roman" w:hAnsi="Times New Roman" w:cs="Times New Roman"/>
          <w:sz w:val="24"/>
          <w:szCs w:val="24"/>
        </w:rPr>
        <w:t xml:space="preserve"> Vinculación con instancias y Comisiones del SNT e integrantes del SNA y el SNARCH</w:t>
      </w:r>
    </w:p>
    <w:p w14:paraId="48A445FA"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Capacitación: </w:t>
      </w:r>
      <w:r w:rsidRPr="00BA784D">
        <w:rPr>
          <w:rFonts w:ascii="Times New Roman" w:eastAsia="Times New Roman" w:hAnsi="Times New Roman" w:cs="Times New Roman"/>
          <w:sz w:val="24"/>
          <w:szCs w:val="24"/>
        </w:rPr>
        <w:t xml:space="preserve">Instrumentos del SNT establecidos en la línea de acción 2.1.1-C. </w:t>
      </w:r>
    </w:p>
    <w:p w14:paraId="611D55E5" w14:textId="0889A660" w:rsidR="00E35B30" w:rsidRPr="00BA784D" w:rsidRDefault="0036612A">
      <w:pPr>
        <w:widowControl/>
        <w:numPr>
          <w:ilvl w:val="0"/>
          <w:numId w:val="20"/>
        </w:numPr>
        <w:spacing w:line="360" w:lineRule="auto"/>
        <w:ind w:right="51"/>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PNT y TIC</w:t>
      </w:r>
      <w:r w:rsidR="00FD4F8F">
        <w:rPr>
          <w:rFonts w:ascii="Times New Roman" w:eastAsia="Times New Roman" w:hAnsi="Times New Roman" w:cs="Times New Roman"/>
          <w:b/>
          <w:sz w:val="24"/>
          <w:szCs w:val="24"/>
        </w:rPr>
        <w:t>’</w:t>
      </w:r>
      <w:r w:rsidRPr="00BA784D">
        <w:rPr>
          <w:rFonts w:ascii="Times New Roman" w:eastAsia="Times New Roman" w:hAnsi="Times New Roman" w:cs="Times New Roman"/>
          <w:b/>
          <w:sz w:val="24"/>
          <w:szCs w:val="24"/>
        </w:rPr>
        <w:t>s:</w:t>
      </w:r>
      <w:r w:rsidRPr="00BA784D">
        <w:rPr>
          <w:rFonts w:ascii="Times New Roman" w:eastAsia="Times New Roman" w:hAnsi="Times New Roman" w:cs="Times New Roman"/>
          <w:sz w:val="24"/>
          <w:szCs w:val="24"/>
        </w:rPr>
        <w:t xml:space="preserve"> Desarrollo de micrositios y repositorios. </w:t>
      </w:r>
    </w:p>
    <w:p w14:paraId="3D75165F"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Inclusión:</w:t>
      </w:r>
      <w:r w:rsidRPr="00BA784D">
        <w:rPr>
          <w:rFonts w:ascii="Times New Roman" w:eastAsia="Times New Roman" w:hAnsi="Times New Roman" w:cs="Times New Roman"/>
          <w:sz w:val="24"/>
          <w:szCs w:val="24"/>
        </w:rPr>
        <w:t xml:space="preserve"> Desarrollar acciones e iniciativas dirigidas a personas en situación de vulnerabilidad como centro de la política de transparencia proactiva.</w:t>
      </w:r>
    </w:p>
    <w:p w14:paraId="4FE80EBB"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Comunicación: </w:t>
      </w:r>
      <w:r w:rsidRPr="00BA784D">
        <w:rPr>
          <w:rFonts w:ascii="Times New Roman" w:eastAsia="Times New Roman" w:hAnsi="Times New Roman" w:cs="Times New Roman"/>
          <w:sz w:val="24"/>
          <w:szCs w:val="24"/>
        </w:rPr>
        <w:t>Acciones coordinadas y evaluadas a nivel nacional y ajustables localmente a las necesidades de Organismos Garantes y Sujetos Obligados.</w:t>
      </w:r>
    </w:p>
    <w:p w14:paraId="1489FC12" w14:textId="2ACF64FF"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Indicador de Resultado: </w:t>
      </w:r>
      <w:r w:rsidRPr="00BA784D">
        <w:rPr>
          <w:rFonts w:ascii="Times New Roman" w:eastAsia="Times New Roman" w:hAnsi="Times New Roman" w:cs="Times New Roman"/>
          <w:sz w:val="24"/>
          <w:szCs w:val="24"/>
        </w:rPr>
        <w:t xml:space="preserve">Índice de </w:t>
      </w:r>
      <w:r w:rsidR="0093345B" w:rsidRPr="00BA784D">
        <w:rPr>
          <w:rFonts w:ascii="Times New Roman" w:eastAsia="Times New Roman" w:hAnsi="Times New Roman" w:cs="Times New Roman"/>
          <w:sz w:val="24"/>
          <w:szCs w:val="24"/>
        </w:rPr>
        <w:t xml:space="preserve">promoción </w:t>
      </w:r>
      <w:r w:rsidRPr="00BA784D">
        <w:rPr>
          <w:rFonts w:ascii="Times New Roman" w:eastAsia="Times New Roman" w:hAnsi="Times New Roman" w:cs="Times New Roman"/>
          <w:sz w:val="24"/>
          <w:szCs w:val="24"/>
        </w:rPr>
        <w:t>de transparencia proactiva</w:t>
      </w:r>
    </w:p>
    <w:p w14:paraId="0C97F3BE" w14:textId="7162509E"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Línea Base:</w:t>
      </w:r>
      <w:r w:rsidRPr="00BA784D">
        <w:rPr>
          <w:rFonts w:ascii="Times New Roman" w:eastAsia="Times New Roman" w:hAnsi="Times New Roman" w:cs="Times New Roman"/>
          <w:sz w:val="24"/>
          <w:szCs w:val="24"/>
        </w:rPr>
        <w:t xml:space="preserve"> 25.76%, CNTAI</w:t>
      </w:r>
      <w:r w:rsidR="000A0337" w:rsidRPr="00BA784D">
        <w:rPr>
          <w:rFonts w:ascii="Times New Roman" w:eastAsia="Times New Roman" w:hAnsi="Times New Roman" w:cs="Times New Roman"/>
          <w:sz w:val="24"/>
          <w:szCs w:val="24"/>
        </w:rPr>
        <w:t>PPDPF y CNTAIPPDPE</w:t>
      </w:r>
      <w:r w:rsidRPr="00BA784D">
        <w:rPr>
          <w:rFonts w:ascii="Times New Roman" w:eastAsia="Times New Roman" w:hAnsi="Times New Roman" w:cs="Times New Roman"/>
          <w:sz w:val="24"/>
          <w:szCs w:val="24"/>
        </w:rPr>
        <w:t xml:space="preserve"> 2020</w:t>
      </w:r>
    </w:p>
    <w:p w14:paraId="3C6E7227" w14:textId="3265E5B7"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Este índice mide la cobertura de las acciones de seguimiento de la política de transparencia proactiva por medio de dos componentes: el primero, se refiere al porcentaje total de Organismos Garantes que reportaron en el CNTAI</w:t>
      </w:r>
      <w:r w:rsidR="000A0337" w:rsidRPr="00BA784D">
        <w:rPr>
          <w:rFonts w:ascii="Times New Roman" w:eastAsia="Times New Roman" w:hAnsi="Times New Roman" w:cs="Times New Roman"/>
          <w:sz w:val="24"/>
          <w:szCs w:val="24"/>
        </w:rPr>
        <w:t>PPDP</w:t>
      </w:r>
      <w:r w:rsidRPr="00BA784D">
        <w:rPr>
          <w:rFonts w:ascii="Times New Roman" w:eastAsia="Times New Roman" w:hAnsi="Times New Roman" w:cs="Times New Roman"/>
          <w:sz w:val="24"/>
          <w:szCs w:val="24"/>
        </w:rPr>
        <w:t xml:space="preserve"> evaluar el impacto de los efectos generados por la publicación, difusión de la información y/o el conocimiento en sus sujetos obligados; el segundo componente se refiere al porcentaje total de Organismos Garantes que reportaron en el CNTAI</w:t>
      </w:r>
      <w:r w:rsidR="000A0337" w:rsidRPr="00BA784D">
        <w:rPr>
          <w:rFonts w:ascii="Times New Roman" w:eastAsia="Times New Roman" w:hAnsi="Times New Roman" w:cs="Times New Roman"/>
          <w:sz w:val="24"/>
          <w:szCs w:val="24"/>
        </w:rPr>
        <w:t>PPDP</w:t>
      </w:r>
      <w:r w:rsidRPr="00BA784D">
        <w:rPr>
          <w:rFonts w:ascii="Times New Roman" w:eastAsia="Times New Roman" w:hAnsi="Times New Roman" w:cs="Times New Roman"/>
          <w:sz w:val="24"/>
          <w:szCs w:val="24"/>
        </w:rPr>
        <w:t xml:space="preserve"> realizar acciones de acciones de diseño, implementación y evaluación de una política de transparencia proactiva en los sujetos obligados.</w:t>
      </w:r>
    </w:p>
    <w:p w14:paraId="741E097F" w14:textId="77777777" w:rsidR="00E35B30" w:rsidRPr="00BA784D" w:rsidRDefault="0036612A">
      <w:pPr>
        <w:spacing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NOTA DE CAUCIÓN: En caso de considerar alguna versión alternativa de indicador se sugiere utilizar el Indicador de Transparencia Proactiva de la Métrica de Gobierno Abierto.</w:t>
      </w:r>
    </w:p>
    <w:p w14:paraId="3F5F4A58" w14:textId="0B5E63AD" w:rsidR="00E35B30" w:rsidRPr="00BA784D" w:rsidRDefault="00E35B30" w:rsidP="00593A29">
      <w:bookmarkStart w:id="23" w:name="_heading=h.3o7alnk" w:colFirst="0" w:colLast="0"/>
      <w:bookmarkEnd w:id="23"/>
    </w:p>
    <w:p w14:paraId="45B3D986" w14:textId="77777777" w:rsidR="00E35B30" w:rsidRPr="00BA784D" w:rsidRDefault="0036612A">
      <w:pPr>
        <w:pStyle w:val="Ttulo3"/>
      </w:pPr>
      <w:bookmarkStart w:id="24" w:name="_Toc102051232"/>
      <w:r w:rsidRPr="00BA784D">
        <w:t>3.4 SIPOT (Sistema de Portales de Obligaciones de Transparencia de la Plataforma Nacional de Transparencia)</w:t>
      </w:r>
      <w:bookmarkEnd w:id="24"/>
    </w:p>
    <w:p w14:paraId="1FACD56E" w14:textId="161CE569"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Síntesis de la problemática identificada en el diagnóstico:</w:t>
      </w:r>
      <w:r w:rsidRPr="00BA784D">
        <w:rPr>
          <w:rFonts w:ascii="Times New Roman" w:eastAsia="Times New Roman" w:hAnsi="Times New Roman" w:cs="Times New Roman"/>
          <w:sz w:val="24"/>
          <w:szCs w:val="24"/>
        </w:rPr>
        <w:t xml:space="preserve"> En lo que se refiere al SIPOT, conforme a la Métrica de Gobierno </w:t>
      </w:r>
      <w:r w:rsidR="00404DD0"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bierto ha incrementado su indicador sobre información obligatoria al pasar de 0.45 a 0.72, a partir de la revisión de una selección de las obligaciones de transparencia publicadas. Por otra parte, de acuerdo con lo reportado en el CNTAI</w:t>
      </w:r>
      <w:r w:rsidR="000A0337" w:rsidRPr="00BA784D">
        <w:rPr>
          <w:rFonts w:ascii="Times New Roman" w:eastAsia="Times New Roman" w:hAnsi="Times New Roman" w:cs="Times New Roman"/>
          <w:sz w:val="24"/>
          <w:szCs w:val="24"/>
        </w:rPr>
        <w:t>PPDPF</w:t>
      </w:r>
      <w:r w:rsidRPr="00BA784D">
        <w:rPr>
          <w:rFonts w:ascii="Times New Roman" w:eastAsia="Times New Roman" w:hAnsi="Times New Roman" w:cs="Times New Roman"/>
          <w:sz w:val="24"/>
          <w:szCs w:val="24"/>
          <w:vertAlign w:val="superscript"/>
        </w:rPr>
        <w:footnoteReference w:id="11"/>
      </w:r>
      <w:r w:rsidRPr="00BA784D">
        <w:rPr>
          <w:rFonts w:ascii="Times New Roman" w:eastAsia="Times New Roman" w:hAnsi="Times New Roman" w:cs="Times New Roman"/>
          <w:sz w:val="24"/>
          <w:szCs w:val="24"/>
        </w:rPr>
        <w:t xml:space="preserve"> los sujetos obligados han incrementado las estructuras organizacionales formales para garantizar el acceso a la información:</w:t>
      </w:r>
    </w:p>
    <w:tbl>
      <w:tblPr>
        <w:tblStyle w:val="14"/>
        <w:tblW w:w="8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3480"/>
        <w:gridCol w:w="3930"/>
      </w:tblGrid>
      <w:tr w:rsidR="00E35B30" w:rsidRPr="00BA784D" w14:paraId="5A538278" w14:textId="77777777">
        <w:trPr>
          <w:trHeight w:val="486"/>
        </w:trPr>
        <w:tc>
          <w:tcPr>
            <w:tcW w:w="1410" w:type="dxa"/>
            <w:shd w:val="clear" w:color="auto" w:fill="auto"/>
            <w:tcMar>
              <w:top w:w="100" w:type="dxa"/>
              <w:left w:w="100" w:type="dxa"/>
              <w:bottom w:w="100" w:type="dxa"/>
              <w:right w:w="100" w:type="dxa"/>
            </w:tcMar>
          </w:tcPr>
          <w:p w14:paraId="44849814" w14:textId="77777777" w:rsidR="00E35B30" w:rsidRPr="00BA784D" w:rsidRDefault="00E35B30">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480" w:type="dxa"/>
            <w:shd w:val="clear" w:color="auto" w:fill="auto"/>
            <w:tcMar>
              <w:top w:w="100" w:type="dxa"/>
              <w:left w:w="100" w:type="dxa"/>
              <w:bottom w:w="100" w:type="dxa"/>
              <w:right w:w="100" w:type="dxa"/>
            </w:tcMar>
          </w:tcPr>
          <w:p w14:paraId="2DCB1D2B" w14:textId="77777777" w:rsidR="00E35B30" w:rsidRPr="00BA784D" w:rsidRDefault="0036612A">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Unidades de Transparencia</w:t>
            </w:r>
          </w:p>
        </w:tc>
        <w:tc>
          <w:tcPr>
            <w:tcW w:w="3930" w:type="dxa"/>
            <w:shd w:val="clear" w:color="auto" w:fill="auto"/>
            <w:tcMar>
              <w:top w:w="100" w:type="dxa"/>
              <w:left w:w="100" w:type="dxa"/>
              <w:bottom w:w="100" w:type="dxa"/>
              <w:right w:w="100" w:type="dxa"/>
            </w:tcMar>
          </w:tcPr>
          <w:p w14:paraId="642AD5A8" w14:textId="77777777" w:rsidR="00E35B30" w:rsidRPr="00BA784D" w:rsidRDefault="0036612A">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Comités de Transparencia</w:t>
            </w:r>
          </w:p>
        </w:tc>
      </w:tr>
      <w:tr w:rsidR="00E35B30" w:rsidRPr="00BA784D" w14:paraId="71A17CBF" w14:textId="77777777">
        <w:trPr>
          <w:trHeight w:val="486"/>
        </w:trPr>
        <w:tc>
          <w:tcPr>
            <w:tcW w:w="1410" w:type="dxa"/>
            <w:shd w:val="clear" w:color="auto" w:fill="auto"/>
            <w:tcMar>
              <w:top w:w="100" w:type="dxa"/>
              <w:left w:w="100" w:type="dxa"/>
              <w:bottom w:w="100" w:type="dxa"/>
              <w:right w:w="100" w:type="dxa"/>
            </w:tcMar>
          </w:tcPr>
          <w:p w14:paraId="50C119C6" w14:textId="77777777" w:rsidR="00E35B30" w:rsidRPr="00BA784D" w:rsidRDefault="0036612A">
            <w:pPr>
              <w:pBdr>
                <w:top w:val="nil"/>
                <w:left w:val="nil"/>
                <w:bottom w:val="nil"/>
                <w:right w:val="nil"/>
                <w:between w:val="nil"/>
              </w:pBdr>
              <w:spacing w:line="276"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2017</w:t>
            </w:r>
          </w:p>
        </w:tc>
        <w:tc>
          <w:tcPr>
            <w:tcW w:w="3480" w:type="dxa"/>
            <w:shd w:val="clear" w:color="auto" w:fill="auto"/>
            <w:tcMar>
              <w:top w:w="100" w:type="dxa"/>
              <w:left w:w="100" w:type="dxa"/>
              <w:bottom w:w="100" w:type="dxa"/>
              <w:right w:w="100" w:type="dxa"/>
            </w:tcMar>
          </w:tcPr>
          <w:p w14:paraId="1B069527" w14:textId="77777777" w:rsidR="00E35B30" w:rsidRPr="00BA784D" w:rsidRDefault="0036612A">
            <w:pPr>
              <w:widowControl/>
              <w:spacing w:line="276"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5,769</w:t>
            </w:r>
          </w:p>
        </w:tc>
        <w:tc>
          <w:tcPr>
            <w:tcW w:w="3930" w:type="dxa"/>
            <w:shd w:val="clear" w:color="auto" w:fill="auto"/>
            <w:tcMar>
              <w:top w:w="100" w:type="dxa"/>
              <w:left w:w="100" w:type="dxa"/>
              <w:bottom w:w="100" w:type="dxa"/>
              <w:right w:w="100" w:type="dxa"/>
            </w:tcMar>
          </w:tcPr>
          <w:p w14:paraId="6694B2F0" w14:textId="77777777" w:rsidR="00E35B30" w:rsidRPr="00BA784D" w:rsidRDefault="0036612A">
            <w:pPr>
              <w:widowControl/>
              <w:spacing w:line="276"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4,459</w:t>
            </w:r>
          </w:p>
        </w:tc>
      </w:tr>
      <w:tr w:rsidR="00E35B30" w:rsidRPr="00BA784D" w14:paraId="70C353CA" w14:textId="77777777">
        <w:trPr>
          <w:trHeight w:val="486"/>
        </w:trPr>
        <w:tc>
          <w:tcPr>
            <w:tcW w:w="1410" w:type="dxa"/>
            <w:shd w:val="clear" w:color="auto" w:fill="auto"/>
            <w:tcMar>
              <w:top w:w="100" w:type="dxa"/>
              <w:left w:w="100" w:type="dxa"/>
              <w:bottom w:w="100" w:type="dxa"/>
              <w:right w:w="100" w:type="dxa"/>
            </w:tcMar>
          </w:tcPr>
          <w:p w14:paraId="5B3BAA3D" w14:textId="77777777" w:rsidR="00E35B30" w:rsidRPr="00BA784D" w:rsidRDefault="0036612A">
            <w:pPr>
              <w:pBdr>
                <w:top w:val="nil"/>
                <w:left w:val="nil"/>
                <w:bottom w:val="nil"/>
                <w:right w:val="nil"/>
                <w:between w:val="nil"/>
              </w:pBdr>
              <w:spacing w:line="276"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2019</w:t>
            </w:r>
          </w:p>
        </w:tc>
        <w:tc>
          <w:tcPr>
            <w:tcW w:w="3480" w:type="dxa"/>
            <w:shd w:val="clear" w:color="auto" w:fill="auto"/>
            <w:tcMar>
              <w:top w:w="100" w:type="dxa"/>
              <w:left w:w="100" w:type="dxa"/>
              <w:bottom w:w="100" w:type="dxa"/>
              <w:right w:w="100" w:type="dxa"/>
            </w:tcMar>
          </w:tcPr>
          <w:p w14:paraId="1AFED3EF" w14:textId="77777777" w:rsidR="00E35B30" w:rsidRPr="00BA784D" w:rsidRDefault="0036612A">
            <w:pPr>
              <w:widowControl/>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7,219</w:t>
            </w:r>
          </w:p>
        </w:tc>
        <w:tc>
          <w:tcPr>
            <w:tcW w:w="3930" w:type="dxa"/>
            <w:shd w:val="clear" w:color="auto" w:fill="auto"/>
            <w:tcMar>
              <w:top w:w="100" w:type="dxa"/>
              <w:left w:w="100" w:type="dxa"/>
              <w:bottom w:w="100" w:type="dxa"/>
              <w:right w:w="100" w:type="dxa"/>
            </w:tcMar>
          </w:tcPr>
          <w:p w14:paraId="3D152F46" w14:textId="77777777" w:rsidR="00E35B30" w:rsidRPr="00BA784D" w:rsidRDefault="0036612A">
            <w:pPr>
              <w:widowControl/>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6,592</w:t>
            </w:r>
          </w:p>
        </w:tc>
      </w:tr>
      <w:tr w:rsidR="00E35B30" w:rsidRPr="00BA784D" w14:paraId="4AD0451D" w14:textId="77777777">
        <w:trPr>
          <w:trHeight w:val="486"/>
        </w:trPr>
        <w:tc>
          <w:tcPr>
            <w:tcW w:w="1410" w:type="dxa"/>
            <w:shd w:val="clear" w:color="auto" w:fill="auto"/>
            <w:tcMar>
              <w:top w:w="100" w:type="dxa"/>
              <w:left w:w="100" w:type="dxa"/>
              <w:bottom w:w="100" w:type="dxa"/>
              <w:right w:w="100" w:type="dxa"/>
            </w:tcMar>
          </w:tcPr>
          <w:p w14:paraId="1072518A" w14:textId="77777777" w:rsidR="00E35B30" w:rsidRPr="00BA784D" w:rsidRDefault="0036612A">
            <w:pPr>
              <w:pBdr>
                <w:top w:val="nil"/>
                <w:left w:val="nil"/>
                <w:bottom w:val="nil"/>
                <w:right w:val="nil"/>
                <w:between w:val="nil"/>
              </w:pBdr>
              <w:spacing w:line="276"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2020</w:t>
            </w:r>
          </w:p>
        </w:tc>
        <w:tc>
          <w:tcPr>
            <w:tcW w:w="3480" w:type="dxa"/>
            <w:shd w:val="clear" w:color="auto" w:fill="auto"/>
            <w:tcMar>
              <w:top w:w="100" w:type="dxa"/>
              <w:left w:w="100" w:type="dxa"/>
              <w:bottom w:w="100" w:type="dxa"/>
              <w:right w:w="100" w:type="dxa"/>
            </w:tcMar>
          </w:tcPr>
          <w:p w14:paraId="0CAED701" w14:textId="77777777" w:rsidR="00E35B30" w:rsidRPr="00BA784D" w:rsidRDefault="0036612A">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6,858</w:t>
            </w:r>
          </w:p>
        </w:tc>
        <w:tc>
          <w:tcPr>
            <w:tcW w:w="3930" w:type="dxa"/>
            <w:shd w:val="clear" w:color="auto" w:fill="auto"/>
            <w:tcMar>
              <w:top w:w="100" w:type="dxa"/>
              <w:left w:w="100" w:type="dxa"/>
              <w:bottom w:w="100" w:type="dxa"/>
              <w:right w:w="100" w:type="dxa"/>
            </w:tcMar>
          </w:tcPr>
          <w:p w14:paraId="2A7AF9DC" w14:textId="77777777" w:rsidR="00E35B30" w:rsidRPr="00BA784D" w:rsidRDefault="0036612A">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6,759</w:t>
            </w:r>
          </w:p>
        </w:tc>
      </w:tr>
      <w:tr w:rsidR="00E35B30" w:rsidRPr="00BA784D" w14:paraId="70E406ED" w14:textId="77777777">
        <w:trPr>
          <w:trHeight w:val="486"/>
        </w:trPr>
        <w:tc>
          <w:tcPr>
            <w:tcW w:w="1410" w:type="dxa"/>
            <w:shd w:val="clear" w:color="auto" w:fill="auto"/>
            <w:tcMar>
              <w:top w:w="100" w:type="dxa"/>
              <w:left w:w="100" w:type="dxa"/>
              <w:bottom w:w="100" w:type="dxa"/>
              <w:right w:w="100" w:type="dxa"/>
            </w:tcMar>
          </w:tcPr>
          <w:p w14:paraId="32F83B5C" w14:textId="77777777" w:rsidR="00E35B30" w:rsidRPr="00BA784D" w:rsidRDefault="0036612A">
            <w:pPr>
              <w:pBdr>
                <w:top w:val="nil"/>
                <w:left w:val="nil"/>
                <w:bottom w:val="nil"/>
                <w:right w:val="nil"/>
                <w:between w:val="nil"/>
              </w:pBdr>
              <w:spacing w:line="276"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2021</w:t>
            </w:r>
          </w:p>
        </w:tc>
        <w:tc>
          <w:tcPr>
            <w:tcW w:w="3480" w:type="dxa"/>
            <w:shd w:val="clear" w:color="auto" w:fill="auto"/>
            <w:tcMar>
              <w:top w:w="100" w:type="dxa"/>
              <w:left w:w="100" w:type="dxa"/>
              <w:bottom w:w="100" w:type="dxa"/>
              <w:right w:w="100" w:type="dxa"/>
            </w:tcMar>
          </w:tcPr>
          <w:p w14:paraId="7809F962" w14:textId="77777777" w:rsidR="00E35B30" w:rsidRPr="00BA784D" w:rsidRDefault="0036612A">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7,489</w:t>
            </w:r>
          </w:p>
        </w:tc>
        <w:tc>
          <w:tcPr>
            <w:tcW w:w="3930" w:type="dxa"/>
            <w:shd w:val="clear" w:color="auto" w:fill="auto"/>
            <w:tcMar>
              <w:top w:w="100" w:type="dxa"/>
              <w:left w:w="100" w:type="dxa"/>
              <w:bottom w:w="100" w:type="dxa"/>
              <w:right w:w="100" w:type="dxa"/>
            </w:tcMar>
          </w:tcPr>
          <w:p w14:paraId="31B110F3" w14:textId="77777777" w:rsidR="00E35B30" w:rsidRPr="00BA784D" w:rsidRDefault="0036612A">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7,054</w:t>
            </w:r>
          </w:p>
        </w:tc>
      </w:tr>
    </w:tbl>
    <w:p w14:paraId="76EAAB54" w14:textId="77777777" w:rsidR="00E35B30" w:rsidRPr="00BA784D" w:rsidRDefault="00E35B30">
      <w:pPr>
        <w:widowControl/>
        <w:spacing w:line="360" w:lineRule="auto"/>
        <w:jc w:val="both"/>
        <w:rPr>
          <w:rFonts w:ascii="Times New Roman" w:eastAsia="Times New Roman" w:hAnsi="Times New Roman" w:cs="Times New Roman"/>
          <w:color w:val="C00000"/>
          <w:sz w:val="24"/>
          <w:szCs w:val="24"/>
        </w:rPr>
      </w:pPr>
    </w:p>
    <w:p w14:paraId="23BBB1D3" w14:textId="77777777" w:rsidR="00E35B30" w:rsidRPr="00BA784D" w:rsidRDefault="0036612A">
      <w:pPr>
        <w:widowControl/>
        <w:spacing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Sin embargo, ahora los retos se relacionan con la calidad y simplicidad de acceso a la información, las formas de llegar a la información pública que generan los sujetos obligados son múltiples y esto dificulta a los particulares su pronta localización. Por su parte, el SIPOT, a pesar de sus actualizaciones sigue siendo un sistema técnico y poco comprensible para el usuario por el nivel de sofisticación de la información que arroja. Por lo que se considera necesario seguir impulsando herramientas para alcanzar una mayor inclusión y diversidad de personas usuarias del sistema. </w:t>
      </w:r>
    </w:p>
    <w:p w14:paraId="72A1AC50" w14:textId="77777777" w:rsidR="00E35B30" w:rsidRPr="00BA784D" w:rsidRDefault="0036612A">
      <w:pPr>
        <w:widowControl/>
        <w:spacing w:before="280" w:after="280" w:line="360" w:lineRule="auto"/>
        <w:jc w:val="both"/>
        <w:rPr>
          <w:rFonts w:ascii="Times New Roman" w:eastAsia="Times New Roman" w:hAnsi="Times New Roman" w:cs="Times New Roman"/>
          <w:b/>
          <w:i/>
          <w:sz w:val="24"/>
          <w:szCs w:val="24"/>
        </w:rPr>
      </w:pPr>
      <w:r w:rsidRPr="00BA784D">
        <w:rPr>
          <w:rFonts w:ascii="Times New Roman" w:eastAsia="Times New Roman" w:hAnsi="Times New Roman" w:cs="Times New Roman"/>
          <w:b/>
          <w:i/>
          <w:sz w:val="24"/>
          <w:szCs w:val="24"/>
        </w:rPr>
        <w:t>Objetivo Estratégico 3.4. Fortalecer al SIPOT de la Plataforma Nacional de Transparencia como herramienta de transparencia para las instituciones públicas</w:t>
      </w:r>
    </w:p>
    <w:p w14:paraId="583DA7B0" w14:textId="77777777" w:rsidR="00E35B30" w:rsidRPr="00BA784D" w:rsidRDefault="0036612A">
      <w:pPr>
        <w:widowControl/>
        <w:spacing w:before="280"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Líneas de acción:</w:t>
      </w:r>
    </w:p>
    <w:p w14:paraId="505702AC" w14:textId="3999E699"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3.4.1-A 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 xml:space="preserve">ransversal de Promoción, Difusión y Fomento de la Cultura. </w:t>
      </w:r>
      <w:r w:rsidRPr="00BA784D">
        <w:rPr>
          <w:rFonts w:ascii="Times New Roman" w:eastAsia="Times New Roman" w:hAnsi="Times New Roman" w:cs="Times New Roman"/>
          <w:sz w:val="24"/>
          <w:szCs w:val="24"/>
        </w:rPr>
        <w:t>Actualizar y difundir, de forma individual por integrante o en colaboración con las comisiones del SNT correspondientes, los productos y materiales de comunicación existentes sobre el uso del SIPOT, sus buscadores y su relevancia en el acceso a la información pública, así como hacerlos ajustables por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o sus sujetos obligados y considerando mecanismos </w:t>
      </w:r>
      <w:r w:rsidR="0073046E" w:rsidRPr="00BA784D">
        <w:rPr>
          <w:rFonts w:ascii="Times New Roman" w:eastAsia="Times New Roman" w:hAnsi="Times New Roman" w:cs="Times New Roman"/>
          <w:sz w:val="24"/>
          <w:szCs w:val="24"/>
        </w:rPr>
        <w:t xml:space="preserve">de </w:t>
      </w:r>
      <w:r w:rsidRPr="00BA784D">
        <w:rPr>
          <w:rFonts w:ascii="Times New Roman" w:eastAsia="Times New Roman" w:hAnsi="Times New Roman" w:cs="Times New Roman"/>
          <w:sz w:val="24"/>
          <w:szCs w:val="24"/>
        </w:rPr>
        <w:t>evaluación a su difusión, conforme a la línea de acción 2.1.7-A</w:t>
      </w:r>
      <w:r w:rsidR="00F23425"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350E645D" w14:textId="38831E9D"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3.4.2-B Línea Transversal DDHH, Enfoque de Género e Inclusión Social. </w:t>
      </w:r>
      <w:r w:rsidRPr="00BA784D">
        <w:rPr>
          <w:rFonts w:ascii="Times New Roman" w:eastAsia="Times New Roman" w:hAnsi="Times New Roman" w:cs="Times New Roman"/>
          <w:sz w:val="24"/>
          <w:szCs w:val="24"/>
        </w:rPr>
        <w:t>Realizar las actualizaciones necesarias al SIPOT y sus buscadores, tutoriales y herramientas para mantener la accesibilidad y usabilidad por sus personas usuarias</w:t>
      </w:r>
      <w:r w:rsidR="00111D59"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sz w:val="24"/>
          <w:szCs w:val="24"/>
        </w:rPr>
        <w:t>(en especial aquellos con alguna discapacidad o de lengua indígena), administradores y las personas del servicio público de los sujetos obligados; así como desarrollar mecanismos de vinculación con los sistemas informáticos de control y gestión documental y la Plataforma Digital Nacional</w:t>
      </w:r>
      <w:r w:rsidR="00F23425"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042D2280" w14:textId="603053C5"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3.4.3-C Línea Transversal de Profesionalización y Fortalecimiento Institucional.</w:t>
      </w:r>
      <w:r w:rsidRPr="00BA784D">
        <w:rPr>
          <w:rFonts w:ascii="Times New Roman" w:eastAsia="Times New Roman" w:hAnsi="Times New Roman" w:cs="Times New Roman"/>
          <w:sz w:val="24"/>
          <w:szCs w:val="24"/>
        </w:rPr>
        <w:t xml:space="preserve"> Diseñar los programas de acompañamiento a los sujetos obligados y formular contenidos de capacitación en las dimensiones Portales de </w:t>
      </w:r>
      <w:r w:rsidR="00404DD0" w:rsidRPr="00BA784D">
        <w:rPr>
          <w:rFonts w:ascii="Times New Roman" w:eastAsia="Times New Roman" w:hAnsi="Times New Roman" w:cs="Times New Roman"/>
          <w:sz w:val="24"/>
          <w:szCs w:val="24"/>
        </w:rPr>
        <w:t>T</w:t>
      </w:r>
      <w:r w:rsidRPr="00BA784D">
        <w:rPr>
          <w:rFonts w:ascii="Times New Roman" w:eastAsia="Times New Roman" w:hAnsi="Times New Roman" w:cs="Times New Roman"/>
          <w:sz w:val="24"/>
          <w:szCs w:val="24"/>
        </w:rPr>
        <w:t xml:space="preserve">ransparencia, Respuestas a Solicitudes de Información, para que los Organismos Garantes por medio de un canal de comunicación permanente brinden acompañamiento y soporte técnico a los </w:t>
      </w:r>
      <w:r w:rsidRPr="00BA784D">
        <w:rPr>
          <w:rFonts w:ascii="Times New Roman" w:eastAsia="Times New Roman" w:hAnsi="Times New Roman" w:cs="Times New Roman"/>
          <w:sz w:val="24"/>
          <w:szCs w:val="24"/>
        </w:rPr>
        <w:lastRenderedPageBreak/>
        <w:t>Sujetos Obligados para el cumplimiento del marco normativo en transparencia y acceso a la información</w:t>
      </w:r>
      <w:r w:rsidR="00F23425"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52912C64" w14:textId="77777777" w:rsidR="00E35B30" w:rsidRPr="00BA784D" w:rsidRDefault="0036612A">
      <w:pPr>
        <w:widowControl/>
        <w:pBdr>
          <w:top w:val="nil"/>
          <w:left w:val="nil"/>
          <w:bottom w:val="nil"/>
          <w:right w:val="nil"/>
          <w:between w:val="nil"/>
        </w:pBdr>
        <w:spacing w:line="360" w:lineRule="auto"/>
        <w:ind w:left="680" w:right="51"/>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Las temáticas formuladas deberán considerarse en los instrumentos de capacitación establecidos por el SNT en la línea de acción 2.1.1-C.</w:t>
      </w:r>
    </w:p>
    <w:p w14:paraId="2660D265" w14:textId="502C1A7A"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3.4.4-C.</w:t>
      </w:r>
      <w:r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b/>
          <w:sz w:val="24"/>
          <w:szCs w:val="24"/>
        </w:rPr>
        <w:t>Línea Transversal de Profesionalización y Fortalecimiento Institucional.</w:t>
      </w:r>
      <w:r w:rsidRPr="00BA784D">
        <w:rPr>
          <w:rFonts w:ascii="Times New Roman" w:eastAsia="Times New Roman" w:hAnsi="Times New Roman" w:cs="Times New Roman"/>
          <w:sz w:val="24"/>
          <w:szCs w:val="24"/>
        </w:rPr>
        <w:t xml:space="preserve"> Impulsar el desarrollo de los estándares de competencia laboral para certificar las competencias de los verificadores de los Órganos Garantes en el uso de herramientas y criterios de cada dimensión de evaluación de las obligaciones de transparencia y acceso a la información en sujetos obligados (Portales, Respuestas a Solicitudes de Información, Unidades de Transparencia y Capacitación); así como implementar la certificación referida</w:t>
      </w:r>
      <w:r w:rsidR="00F23425"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6B742CE7" w14:textId="23C067CD"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3.4.5 Desarrollar un padrón nacional de Sujetos Obligados en materia de acceso a la información y transparencia </w:t>
      </w:r>
      <w:r w:rsidR="009A7573" w:rsidRPr="00BA784D">
        <w:rPr>
          <w:rFonts w:ascii="Times New Roman" w:eastAsia="Times New Roman" w:hAnsi="Times New Roman" w:cs="Times New Roman"/>
          <w:sz w:val="24"/>
          <w:szCs w:val="24"/>
        </w:rPr>
        <w:t>con la</w:t>
      </w:r>
      <w:r w:rsidRPr="00BA784D">
        <w:rPr>
          <w:rFonts w:ascii="Times New Roman" w:eastAsia="Times New Roman" w:hAnsi="Times New Roman" w:cs="Times New Roman"/>
          <w:sz w:val="24"/>
          <w:szCs w:val="24"/>
        </w:rPr>
        <w:t xml:space="preserve"> participación de los Organismos Garantes</w:t>
      </w:r>
      <w:r w:rsidR="00B95A8C"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62EB8D4E" w14:textId="390AA4C1"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3.4.6 Estandarizar a nivel nacional los procesos de verificación de los portales de </w:t>
      </w:r>
      <w:r w:rsidR="00404DD0" w:rsidRPr="00BA784D">
        <w:rPr>
          <w:rFonts w:ascii="Times New Roman" w:eastAsia="Times New Roman" w:hAnsi="Times New Roman" w:cs="Times New Roman"/>
          <w:sz w:val="24"/>
          <w:szCs w:val="24"/>
        </w:rPr>
        <w:t>T</w:t>
      </w:r>
      <w:r w:rsidRPr="00BA784D">
        <w:rPr>
          <w:rFonts w:ascii="Times New Roman" w:eastAsia="Times New Roman" w:hAnsi="Times New Roman" w:cs="Times New Roman"/>
          <w:sz w:val="24"/>
          <w:szCs w:val="24"/>
        </w:rPr>
        <w:t>ransparencia, y sustanciación de la denuncia por incumplimiento a las obligaciones de transparencia ante los organismos garantes; así como su vinculación a sus obligaciones archivísticas y de gestión documental</w:t>
      </w:r>
      <w:r w:rsidR="00B95A8C"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0198DF0D" w14:textId="6082A55D"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3.4.7 Generar metodologías para el desarrollo de memorias técnicas de verificación, ajustes y homologación en la interpretación y elaboración de formatos de obligaciones y su llenado, criterios de resolución de denuncias de incumplimiento, así como para la elaboración de tablas de aplicabilidad de obligaciones de transparencia</w:t>
      </w:r>
      <w:r w:rsidR="00B95A8C"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60B1B6E9" w14:textId="7904B3D0"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3.4.8 Generar y publicar </w:t>
      </w:r>
      <w:r w:rsidR="00FD4F8F" w:rsidRPr="00BA784D">
        <w:rPr>
          <w:rFonts w:ascii="Times New Roman" w:eastAsia="Times New Roman" w:hAnsi="Times New Roman" w:cs="Times New Roman"/>
          <w:sz w:val="24"/>
          <w:szCs w:val="24"/>
        </w:rPr>
        <w:t>estadísticas</w:t>
      </w:r>
      <w:r w:rsidRPr="00BA784D">
        <w:rPr>
          <w:rFonts w:ascii="Times New Roman" w:eastAsia="Times New Roman" w:hAnsi="Times New Roman" w:cs="Times New Roman"/>
          <w:sz w:val="24"/>
          <w:szCs w:val="24"/>
        </w:rPr>
        <w:t xml:space="preserve"> del cumplimiento de las obligaciones de transparencia, consultas, uso de </w:t>
      </w:r>
      <w:r w:rsidR="00FD4F8F" w:rsidRPr="00BA784D">
        <w:rPr>
          <w:rFonts w:ascii="Times New Roman" w:eastAsia="Times New Roman" w:hAnsi="Times New Roman" w:cs="Times New Roman"/>
          <w:sz w:val="24"/>
          <w:szCs w:val="24"/>
        </w:rPr>
        <w:t>información</w:t>
      </w:r>
      <w:r w:rsidRPr="00BA784D">
        <w:rPr>
          <w:rFonts w:ascii="Times New Roman" w:eastAsia="Times New Roman" w:hAnsi="Times New Roman" w:cs="Times New Roman"/>
          <w:sz w:val="24"/>
          <w:szCs w:val="24"/>
        </w:rPr>
        <w:t xml:space="preserve"> del SIPOT en </w:t>
      </w:r>
      <w:r w:rsidR="00FD4F8F" w:rsidRPr="00BA784D">
        <w:rPr>
          <w:rFonts w:ascii="Times New Roman" w:eastAsia="Times New Roman" w:hAnsi="Times New Roman" w:cs="Times New Roman"/>
          <w:sz w:val="24"/>
          <w:szCs w:val="24"/>
        </w:rPr>
        <w:t>trámites</w:t>
      </w:r>
      <w:r w:rsidRPr="00BA784D">
        <w:rPr>
          <w:rFonts w:ascii="Times New Roman" w:eastAsia="Times New Roman" w:hAnsi="Times New Roman" w:cs="Times New Roman"/>
          <w:sz w:val="24"/>
          <w:szCs w:val="24"/>
        </w:rPr>
        <w:t xml:space="preserve">, servicios y programas sociales y </w:t>
      </w:r>
      <w:r w:rsidR="00FD4F8F" w:rsidRPr="00BA784D">
        <w:rPr>
          <w:rFonts w:ascii="Times New Roman" w:eastAsia="Times New Roman" w:hAnsi="Times New Roman" w:cs="Times New Roman"/>
          <w:sz w:val="24"/>
          <w:szCs w:val="24"/>
        </w:rPr>
        <w:t>temáticas</w:t>
      </w:r>
      <w:r w:rsidRPr="00BA784D">
        <w:rPr>
          <w:rFonts w:ascii="Times New Roman" w:eastAsia="Times New Roman" w:hAnsi="Times New Roman" w:cs="Times New Roman"/>
          <w:sz w:val="24"/>
          <w:szCs w:val="24"/>
        </w:rPr>
        <w:t xml:space="preserve"> prioritarias para la sociedad</w:t>
      </w:r>
      <w:r w:rsidR="00B95A8C"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1CC2E389" w14:textId="515D08F2"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color w:val="C00000"/>
          <w:sz w:val="24"/>
          <w:szCs w:val="24"/>
        </w:rPr>
      </w:pPr>
      <w:r w:rsidRPr="00BA784D">
        <w:rPr>
          <w:rFonts w:ascii="Times New Roman" w:eastAsia="Times New Roman" w:hAnsi="Times New Roman" w:cs="Times New Roman"/>
          <w:b/>
          <w:color w:val="000000"/>
          <w:sz w:val="24"/>
          <w:szCs w:val="24"/>
        </w:rPr>
        <w:t>3.4.9-B</w:t>
      </w:r>
      <w:r w:rsidRPr="00BA784D">
        <w:rPr>
          <w:rFonts w:ascii="Times New Roman" w:eastAsia="Times New Roman" w:hAnsi="Times New Roman" w:cs="Times New Roman"/>
          <w:color w:val="000000"/>
          <w:sz w:val="24"/>
          <w:szCs w:val="24"/>
        </w:rPr>
        <w:t xml:space="preserve"> </w:t>
      </w:r>
      <w:r w:rsidRPr="00BA784D">
        <w:rPr>
          <w:rFonts w:ascii="Times New Roman" w:eastAsia="Times New Roman" w:hAnsi="Times New Roman" w:cs="Times New Roman"/>
          <w:b/>
          <w:color w:val="000000"/>
          <w:sz w:val="24"/>
          <w:szCs w:val="24"/>
        </w:rPr>
        <w:t xml:space="preserve">Línea Transversal DDHH, Enfoque de Género e Inclusión Social. </w:t>
      </w:r>
      <w:r w:rsidRPr="00BA784D">
        <w:rPr>
          <w:rFonts w:ascii="Times New Roman" w:eastAsia="Times New Roman" w:hAnsi="Times New Roman" w:cs="Times New Roman"/>
          <w:color w:val="000000"/>
          <w:sz w:val="24"/>
          <w:szCs w:val="24"/>
        </w:rPr>
        <w:t xml:space="preserve">Propiciar iniciativas de colaboración con personas en situación de vulnerabilidad para dotar de utilidad social de la información contenida en las obligaciones de transparencia y reducir las brechas informativas que </w:t>
      </w:r>
      <w:r w:rsidRPr="00BA784D">
        <w:rPr>
          <w:rFonts w:ascii="Times New Roman" w:eastAsia="Times New Roman" w:hAnsi="Times New Roman" w:cs="Times New Roman"/>
          <w:sz w:val="24"/>
          <w:szCs w:val="24"/>
        </w:rPr>
        <w:t>generan</w:t>
      </w:r>
      <w:r w:rsidRPr="00BA784D">
        <w:rPr>
          <w:rFonts w:ascii="Times New Roman" w:eastAsia="Times New Roman" w:hAnsi="Times New Roman" w:cs="Times New Roman"/>
          <w:color w:val="000000"/>
          <w:sz w:val="24"/>
          <w:szCs w:val="24"/>
        </w:rPr>
        <w:t xml:space="preserve"> </w:t>
      </w:r>
      <w:r w:rsidRPr="00BA784D">
        <w:rPr>
          <w:rFonts w:ascii="Times New Roman" w:eastAsia="Times New Roman" w:hAnsi="Times New Roman" w:cs="Times New Roman"/>
          <w:sz w:val="24"/>
          <w:szCs w:val="24"/>
        </w:rPr>
        <w:t>desigualdad</w:t>
      </w:r>
      <w:r w:rsidRPr="00BA784D">
        <w:rPr>
          <w:rFonts w:ascii="Times New Roman" w:eastAsia="Times New Roman" w:hAnsi="Times New Roman" w:cs="Times New Roman"/>
          <w:color w:val="000000"/>
          <w:sz w:val="24"/>
          <w:szCs w:val="24"/>
        </w:rPr>
        <w:t xml:space="preserve"> en el ejercicio de sus </w:t>
      </w:r>
      <w:r w:rsidRPr="00BA784D">
        <w:rPr>
          <w:rFonts w:ascii="Times New Roman" w:eastAsia="Times New Roman" w:hAnsi="Times New Roman" w:cs="Times New Roman"/>
          <w:color w:val="000000"/>
          <w:sz w:val="24"/>
          <w:szCs w:val="24"/>
        </w:rPr>
        <w:lastRenderedPageBreak/>
        <w:t xml:space="preserve">derechos; se recomienda que dichas acciones se </w:t>
      </w:r>
      <w:r w:rsidRPr="00BA784D">
        <w:rPr>
          <w:rFonts w:ascii="Times New Roman" w:eastAsia="Times New Roman" w:hAnsi="Times New Roman" w:cs="Times New Roman"/>
          <w:sz w:val="24"/>
          <w:szCs w:val="24"/>
        </w:rPr>
        <w:t>amplíen</w:t>
      </w:r>
      <w:r w:rsidRPr="00BA784D">
        <w:rPr>
          <w:rFonts w:ascii="Times New Roman" w:eastAsia="Times New Roman" w:hAnsi="Times New Roman" w:cs="Times New Roman"/>
          <w:color w:val="000000"/>
          <w:sz w:val="24"/>
          <w:szCs w:val="24"/>
        </w:rPr>
        <w:t xml:space="preserve"> </w:t>
      </w:r>
      <w:r w:rsidRPr="00BA784D">
        <w:rPr>
          <w:rFonts w:ascii="Times New Roman" w:eastAsia="Times New Roman" w:hAnsi="Times New Roman" w:cs="Times New Roman"/>
          <w:sz w:val="24"/>
          <w:szCs w:val="24"/>
        </w:rPr>
        <w:t>más</w:t>
      </w:r>
      <w:r w:rsidRPr="00BA784D">
        <w:rPr>
          <w:rFonts w:ascii="Times New Roman" w:eastAsia="Times New Roman" w:hAnsi="Times New Roman" w:cs="Times New Roman"/>
          <w:color w:val="000000"/>
          <w:sz w:val="24"/>
          <w:szCs w:val="24"/>
        </w:rPr>
        <w:t xml:space="preserve"> </w:t>
      </w:r>
      <w:r w:rsidRPr="00BA784D">
        <w:rPr>
          <w:rFonts w:ascii="Times New Roman" w:eastAsia="Times New Roman" w:hAnsi="Times New Roman" w:cs="Times New Roman"/>
          <w:sz w:val="24"/>
          <w:szCs w:val="24"/>
        </w:rPr>
        <w:t xml:space="preserve">allá </w:t>
      </w:r>
      <w:r w:rsidRPr="00BA784D">
        <w:rPr>
          <w:rFonts w:ascii="Times New Roman" w:eastAsia="Times New Roman" w:hAnsi="Times New Roman" w:cs="Times New Roman"/>
          <w:color w:val="000000"/>
          <w:sz w:val="24"/>
          <w:szCs w:val="24"/>
        </w:rPr>
        <w:t>de los colaboradores habituales</w:t>
      </w:r>
      <w:r w:rsidRPr="00BA784D">
        <w:rPr>
          <w:rFonts w:ascii="Times New Roman" w:eastAsia="Times New Roman" w:hAnsi="Times New Roman" w:cs="Times New Roman"/>
          <w:color w:val="000000"/>
          <w:sz w:val="24"/>
          <w:szCs w:val="24"/>
          <w:vertAlign w:val="superscript"/>
        </w:rPr>
        <w:footnoteReference w:id="12"/>
      </w:r>
      <w:r w:rsidR="00B95A8C" w:rsidRPr="00BA784D">
        <w:rPr>
          <w:rFonts w:ascii="Times New Roman" w:eastAsia="Times New Roman" w:hAnsi="Times New Roman" w:cs="Times New Roman"/>
          <w:color w:val="000000"/>
          <w:sz w:val="24"/>
          <w:szCs w:val="24"/>
        </w:rPr>
        <w:t xml:space="preserve"> </w:t>
      </w:r>
      <w:r w:rsidR="00B95A8C" w:rsidRPr="00BA784D">
        <w:rPr>
          <w:rFonts w:ascii="Times New Roman" w:eastAsia="Times New Roman" w:hAnsi="Times New Roman" w:cs="Times New Roman"/>
          <w:sz w:val="24"/>
          <w:szCs w:val="24"/>
        </w:rPr>
        <w:t>(INAI, OGL)</w:t>
      </w:r>
      <w:r w:rsidRPr="00BA784D">
        <w:rPr>
          <w:rFonts w:ascii="Times New Roman" w:eastAsia="Times New Roman" w:hAnsi="Times New Roman" w:cs="Times New Roman"/>
          <w:color w:val="000000"/>
          <w:sz w:val="24"/>
          <w:szCs w:val="24"/>
        </w:rPr>
        <w:t>.</w:t>
      </w:r>
    </w:p>
    <w:p w14:paraId="7B9FCA5E" w14:textId="259A0230"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3.4.10-B Línea Transversal DDHH, Enfoque de Género e Inclusión Social. </w:t>
      </w:r>
      <w:r w:rsidRPr="00BA784D">
        <w:rPr>
          <w:rFonts w:ascii="Times New Roman" w:eastAsia="Times New Roman" w:hAnsi="Times New Roman" w:cs="Times New Roman"/>
          <w:sz w:val="24"/>
          <w:szCs w:val="24"/>
        </w:rPr>
        <w:t>Revisar los lineamientos y normatividad relativa a la publicación de obligaciones de transparencia para favorecer la incorporación del enfoque de género y de inclusión social desde la captura de la información; asimismo desarrollar herramientas y/o buscadores que permitan encontrarla fácilmente</w:t>
      </w:r>
      <w:r w:rsidR="00680850"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39623422" w14:textId="77777777" w:rsidR="00E35B30" w:rsidRPr="00BA784D" w:rsidRDefault="00E35B30">
      <w:pPr>
        <w:widowControl/>
        <w:spacing w:line="360" w:lineRule="auto"/>
        <w:ind w:left="680" w:right="51"/>
        <w:jc w:val="both"/>
        <w:rPr>
          <w:rFonts w:ascii="Times New Roman" w:eastAsia="Times New Roman" w:hAnsi="Times New Roman" w:cs="Times New Roman"/>
          <w:b/>
          <w:sz w:val="24"/>
          <w:szCs w:val="24"/>
        </w:rPr>
      </w:pPr>
    </w:p>
    <w:p w14:paraId="0776D020" w14:textId="77777777" w:rsidR="00E35B30" w:rsidRPr="00BA784D" w:rsidRDefault="0036612A">
      <w:pPr>
        <w:widowControl/>
        <w:spacing w:line="360" w:lineRule="auto"/>
        <w:ind w:left="680" w:right="51"/>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Estrategias:</w:t>
      </w:r>
      <w:r w:rsidRPr="00BA784D">
        <w:rPr>
          <w:rFonts w:ascii="Times New Roman" w:eastAsia="Times New Roman" w:hAnsi="Times New Roman" w:cs="Times New Roman"/>
          <w:sz w:val="24"/>
          <w:szCs w:val="24"/>
        </w:rPr>
        <w:t xml:space="preserve"> </w:t>
      </w:r>
    </w:p>
    <w:p w14:paraId="741B11F2" w14:textId="77777777" w:rsidR="00E35B30" w:rsidRPr="00BA784D" w:rsidRDefault="0036612A">
      <w:pPr>
        <w:widowControl/>
        <w:numPr>
          <w:ilvl w:val="0"/>
          <w:numId w:val="20"/>
        </w:numPr>
        <w:spacing w:before="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Socialización: </w:t>
      </w:r>
      <w:r w:rsidRPr="00BA784D">
        <w:rPr>
          <w:rFonts w:ascii="Times New Roman" w:eastAsia="Times New Roman" w:hAnsi="Times New Roman" w:cs="Times New Roman"/>
          <w:sz w:val="24"/>
          <w:szCs w:val="24"/>
        </w:rPr>
        <w:t xml:space="preserve">Establecimiento de alianzas, convenios e iniciativas con instituciones, organizaciones y personas. </w:t>
      </w:r>
    </w:p>
    <w:p w14:paraId="4D8C6534"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Coordinación:</w:t>
      </w:r>
      <w:r w:rsidRPr="00BA784D">
        <w:rPr>
          <w:rFonts w:ascii="Times New Roman" w:eastAsia="Times New Roman" w:hAnsi="Times New Roman" w:cs="Times New Roman"/>
          <w:sz w:val="24"/>
          <w:szCs w:val="24"/>
        </w:rPr>
        <w:t xml:space="preserve"> Vinculación con instancias y Comisiones del SNT y con integrantes del SNA y el SNARCH</w:t>
      </w:r>
    </w:p>
    <w:p w14:paraId="1E135223"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Capacitación: </w:t>
      </w:r>
      <w:r w:rsidRPr="00BA784D">
        <w:rPr>
          <w:rFonts w:ascii="Times New Roman" w:eastAsia="Times New Roman" w:hAnsi="Times New Roman" w:cs="Times New Roman"/>
          <w:sz w:val="24"/>
          <w:szCs w:val="24"/>
        </w:rPr>
        <w:t xml:space="preserve">Instrumentos del SNT establecidos en la línea de acción 2.1.1-C. </w:t>
      </w:r>
    </w:p>
    <w:p w14:paraId="6642BED0" w14:textId="320A44D8" w:rsidR="00E35B30" w:rsidRPr="00BA784D" w:rsidRDefault="0036612A">
      <w:pPr>
        <w:widowControl/>
        <w:numPr>
          <w:ilvl w:val="0"/>
          <w:numId w:val="20"/>
        </w:numPr>
        <w:spacing w:line="360" w:lineRule="auto"/>
        <w:ind w:right="51"/>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PNT y TIC</w:t>
      </w:r>
      <w:r w:rsidR="00FD4F8F">
        <w:rPr>
          <w:rFonts w:ascii="Times New Roman" w:eastAsia="Times New Roman" w:hAnsi="Times New Roman" w:cs="Times New Roman"/>
          <w:b/>
          <w:sz w:val="24"/>
          <w:szCs w:val="24"/>
        </w:rPr>
        <w:t>’</w:t>
      </w:r>
      <w:r w:rsidRPr="00BA784D">
        <w:rPr>
          <w:rFonts w:ascii="Times New Roman" w:eastAsia="Times New Roman" w:hAnsi="Times New Roman" w:cs="Times New Roman"/>
          <w:b/>
          <w:sz w:val="24"/>
          <w:szCs w:val="24"/>
        </w:rPr>
        <w:t>s:</w:t>
      </w:r>
      <w:r w:rsidRPr="00BA784D">
        <w:rPr>
          <w:rFonts w:ascii="Times New Roman" w:eastAsia="Times New Roman" w:hAnsi="Times New Roman" w:cs="Times New Roman"/>
          <w:sz w:val="24"/>
          <w:szCs w:val="24"/>
        </w:rPr>
        <w:t xml:space="preserve"> Desarrollo de micrositios y repositorios. </w:t>
      </w:r>
    </w:p>
    <w:p w14:paraId="299F10F3"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Inclusión:</w:t>
      </w:r>
      <w:r w:rsidRPr="00BA784D">
        <w:rPr>
          <w:rFonts w:ascii="Times New Roman" w:eastAsia="Times New Roman" w:hAnsi="Times New Roman" w:cs="Times New Roman"/>
          <w:sz w:val="24"/>
          <w:szCs w:val="24"/>
        </w:rPr>
        <w:t xml:space="preserve"> Desarrollar acciones e iniciativas dirigidas a personas en situación de vulnerabilidad para mejorar su acceso a la información publicada en el SIPOT.</w:t>
      </w:r>
    </w:p>
    <w:p w14:paraId="5659F685"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Comunicación: </w:t>
      </w:r>
      <w:r w:rsidRPr="00BA784D">
        <w:rPr>
          <w:rFonts w:ascii="Times New Roman" w:eastAsia="Times New Roman" w:hAnsi="Times New Roman" w:cs="Times New Roman"/>
          <w:sz w:val="24"/>
          <w:szCs w:val="24"/>
        </w:rPr>
        <w:t>Acciones coordinadas y evaluadas a nivel nacional y ajustables localmente a las necesidades de Organismos Garantes y Sujetos Obligados.</w:t>
      </w:r>
    </w:p>
    <w:p w14:paraId="545327A7" w14:textId="77777777" w:rsidR="00E35B30" w:rsidRPr="00BA784D" w:rsidRDefault="00E35B30">
      <w:pPr>
        <w:widowControl/>
        <w:spacing w:line="360" w:lineRule="auto"/>
        <w:jc w:val="both"/>
        <w:rPr>
          <w:rFonts w:ascii="Times New Roman" w:eastAsia="Times New Roman" w:hAnsi="Times New Roman" w:cs="Times New Roman"/>
          <w:b/>
          <w:sz w:val="24"/>
          <w:szCs w:val="24"/>
        </w:rPr>
      </w:pPr>
    </w:p>
    <w:p w14:paraId="15251B9F"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Indicador de Resultado: </w:t>
      </w:r>
      <w:r w:rsidRPr="00BA784D">
        <w:rPr>
          <w:rFonts w:ascii="Times New Roman" w:eastAsia="Times New Roman" w:hAnsi="Times New Roman" w:cs="Times New Roman"/>
          <w:sz w:val="24"/>
          <w:szCs w:val="24"/>
        </w:rPr>
        <w:t>Porcentaje de avance en el indicador de Transparencia Activa de la Métrica de Gobierno Abierto</w:t>
      </w:r>
    </w:p>
    <w:p w14:paraId="4BA15018"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Línea Base:</w:t>
      </w:r>
      <w:r w:rsidRPr="00BA784D">
        <w:rPr>
          <w:rFonts w:ascii="Times New Roman" w:eastAsia="Times New Roman" w:hAnsi="Times New Roman" w:cs="Times New Roman"/>
          <w:sz w:val="24"/>
          <w:szCs w:val="24"/>
        </w:rPr>
        <w:t xml:space="preserve"> 60%, Métrica de Gobierno Abierto 2017-2019</w:t>
      </w:r>
    </w:p>
    <w:p w14:paraId="068A7E71" w14:textId="77777777" w:rsidR="00E35B30" w:rsidRPr="00BA784D" w:rsidRDefault="00E35B30">
      <w:pPr>
        <w:widowControl/>
        <w:spacing w:line="360" w:lineRule="auto"/>
        <w:jc w:val="both"/>
        <w:rPr>
          <w:rFonts w:ascii="Times New Roman" w:eastAsia="Times New Roman" w:hAnsi="Times New Roman" w:cs="Times New Roman"/>
          <w:sz w:val="24"/>
          <w:szCs w:val="24"/>
        </w:rPr>
      </w:pPr>
    </w:p>
    <w:p w14:paraId="0A2160BD"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Se calcula el avance del indicador señalado entre una edición y otra en términos porcentuales. Revisión de la publicación de información de obligaciones comunes de transparencia en el </w:t>
      </w:r>
      <w:r w:rsidRPr="00BA784D">
        <w:rPr>
          <w:rFonts w:ascii="Times New Roman" w:eastAsia="Times New Roman" w:hAnsi="Times New Roman" w:cs="Times New Roman"/>
          <w:sz w:val="24"/>
          <w:szCs w:val="24"/>
        </w:rPr>
        <w:lastRenderedPageBreak/>
        <w:t>Sistema de Portales de Obligaciones de Transparencia (SIPOT). Se consideran las primeras 13 obligaciones de acuerdo con el artículo 70 de la LGTAIP.</w:t>
      </w:r>
    </w:p>
    <w:p w14:paraId="3D88E22A" w14:textId="77777777" w:rsidR="00E35B30" w:rsidRPr="00BA784D" w:rsidRDefault="00E35B30">
      <w:pPr>
        <w:spacing w:line="360" w:lineRule="auto"/>
        <w:jc w:val="both"/>
        <w:rPr>
          <w:rFonts w:ascii="Times New Roman" w:eastAsia="Times New Roman" w:hAnsi="Times New Roman" w:cs="Times New Roman"/>
          <w:b/>
          <w:sz w:val="24"/>
          <w:szCs w:val="24"/>
        </w:rPr>
      </w:pPr>
    </w:p>
    <w:sdt>
      <w:sdtPr>
        <w:tag w:val="goog_rdk_3"/>
        <w:id w:val="320464572"/>
      </w:sdtPr>
      <w:sdtEndPr/>
      <w:sdtContent>
        <w:p w14:paraId="4759453E" w14:textId="77777777" w:rsidR="00E35B30" w:rsidRPr="00BA784D" w:rsidRDefault="0036612A">
          <w:pPr>
            <w:spacing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NOTA DE CAUCIÓN: En caso de considerar el desarrollo de alguna versión alternativa de indicador se sugiere utilizar las siguientes variables:</w:t>
          </w:r>
        </w:p>
      </w:sdtContent>
    </w:sdt>
    <w:p w14:paraId="46C22926" w14:textId="77777777" w:rsidR="00E35B30" w:rsidRPr="00BA784D" w:rsidRDefault="0036612A">
      <w:pPr>
        <w:numPr>
          <w:ilvl w:val="0"/>
          <w:numId w:val="22"/>
        </w:numPr>
        <w:spacing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Tiempo promedio de búsqueda de información por usuario.</w:t>
      </w:r>
    </w:p>
    <w:p w14:paraId="21B1778A" w14:textId="77777777" w:rsidR="00E35B30" w:rsidRPr="00BA784D" w:rsidRDefault="0036612A">
      <w:pPr>
        <w:numPr>
          <w:ilvl w:val="0"/>
          <w:numId w:val="22"/>
        </w:numPr>
        <w:spacing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Evolución de calificaciones de las verificaciones de obligaciones de transparencia.</w:t>
      </w:r>
    </w:p>
    <w:p w14:paraId="3043AFB7" w14:textId="77777777" w:rsidR="00E35B30" w:rsidRPr="00BA784D" w:rsidRDefault="0036612A">
      <w:pPr>
        <w:numPr>
          <w:ilvl w:val="0"/>
          <w:numId w:val="22"/>
        </w:numPr>
        <w:spacing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Número de denuncias presentadas por incumplimiento de obligaciones de transparencia.</w:t>
      </w:r>
    </w:p>
    <w:p w14:paraId="2FB8DD5E" w14:textId="77777777" w:rsidR="00E35B30" w:rsidRPr="00BA784D" w:rsidRDefault="0036612A">
      <w:pPr>
        <w:numPr>
          <w:ilvl w:val="0"/>
          <w:numId w:val="22"/>
        </w:numPr>
        <w:spacing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Porcentaje de desechamiento de denuncias presentadas por incumplimiento de obligaciones de transparencia.</w:t>
      </w:r>
    </w:p>
    <w:p w14:paraId="6211297A" w14:textId="77777777" w:rsidR="00E35B30" w:rsidRPr="00BA784D" w:rsidRDefault="0036612A">
      <w:pPr>
        <w:numPr>
          <w:ilvl w:val="0"/>
          <w:numId w:val="22"/>
        </w:numPr>
        <w:spacing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Grado de cumplimiento de las denuncias presentadas por incumplimiento de obligaciones de transparencia.</w:t>
      </w:r>
    </w:p>
    <w:p w14:paraId="3B6D6998" w14:textId="77777777" w:rsidR="00E35B30" w:rsidRPr="00BA784D" w:rsidRDefault="00E35B30">
      <w:pPr>
        <w:rPr>
          <w:rFonts w:ascii="Times New Roman" w:eastAsia="Times New Roman" w:hAnsi="Times New Roman" w:cs="Times New Roman"/>
          <w:sz w:val="24"/>
          <w:szCs w:val="24"/>
        </w:rPr>
      </w:pPr>
      <w:bookmarkStart w:id="25" w:name="_heading=h.23ckvvd" w:colFirst="0" w:colLast="0"/>
      <w:bookmarkStart w:id="26" w:name="_heading=h.ppufa3f0wto5" w:colFirst="0" w:colLast="0"/>
      <w:bookmarkEnd w:id="25"/>
      <w:bookmarkEnd w:id="26"/>
    </w:p>
    <w:p w14:paraId="07C31A15" w14:textId="77777777" w:rsidR="00E35B30" w:rsidRPr="00BA784D" w:rsidRDefault="0036612A">
      <w:pPr>
        <w:pStyle w:val="Ttulo3"/>
      </w:pPr>
      <w:bookmarkStart w:id="27" w:name="_heading=h.l1wk1hcqfaf1" w:colFirst="0" w:colLast="0"/>
      <w:bookmarkStart w:id="28" w:name="_Toc102051233"/>
      <w:bookmarkEnd w:id="27"/>
      <w:r w:rsidRPr="00BA784D">
        <w:t>3.5 DATOS ABIERTOS</w:t>
      </w:r>
      <w:bookmarkEnd w:id="28"/>
    </w:p>
    <w:p w14:paraId="62CC4376" w14:textId="77777777"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Síntesis de la problemática identificada en el diagnóstico:</w:t>
      </w:r>
      <w:r w:rsidRPr="00BA784D">
        <w:rPr>
          <w:rFonts w:ascii="Times New Roman" w:eastAsia="Times New Roman" w:hAnsi="Times New Roman" w:cs="Times New Roman"/>
          <w:sz w:val="24"/>
          <w:szCs w:val="24"/>
        </w:rPr>
        <w:t xml:space="preserve"> El creciente uso de datos por parte de la sociedad ha llevado a diversas instancias del SNT a considerar que este tema merece un tratamiento específico dentro del PROTAI para plantear acciones estratégicas que definan y promuevan su confección y apertura. Según un análisis de la CEPAL</w:t>
      </w:r>
      <w:r w:rsidRPr="00BA784D">
        <w:rPr>
          <w:rFonts w:ascii="Times New Roman" w:eastAsia="Times New Roman" w:hAnsi="Times New Roman" w:cs="Times New Roman"/>
          <w:sz w:val="24"/>
          <w:szCs w:val="24"/>
          <w:vertAlign w:val="superscript"/>
        </w:rPr>
        <w:footnoteReference w:id="13"/>
      </w:r>
      <w:r w:rsidRPr="00BA784D">
        <w:rPr>
          <w:rFonts w:ascii="Times New Roman" w:eastAsia="Times New Roman" w:hAnsi="Times New Roman" w:cs="Times New Roman"/>
          <w:sz w:val="24"/>
          <w:szCs w:val="24"/>
        </w:rPr>
        <w:t>, a menudo los sujetos obligados dejan de lado la publicación de datos abiertos y no enfocan sus acciones a necesidades específicas de la ciudadanía. A pesar de su relevancia para la rendición de cuentas, los esfuerzos en materia de datos abiertos siguen siendo intermitentes.</w:t>
      </w:r>
    </w:p>
    <w:p w14:paraId="15D44920" w14:textId="5BF3273F" w:rsidR="002A2D5A" w:rsidRPr="00BA784D" w:rsidRDefault="0036612A" w:rsidP="00BA784D">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A nivel federal se emprendieron los primeros esfuerzos en esta agenda en 2011 con la emisión del Acuerdo que Establece el esquema de Interoperabilidad y de Datos Abiertos para la Administración Pública Federal (APF), que impactó el tema en programas federales, decretos, guías y firmas de compromisos. A partir de la publicación oficial de la Política de Transparencia, Gobierno Abierto y Datos Abiertos de la Administración Pública Federal </w:t>
      </w:r>
      <w:r w:rsidRPr="00BA784D">
        <w:rPr>
          <w:rFonts w:ascii="Times New Roman" w:eastAsia="Times New Roman" w:hAnsi="Times New Roman" w:cs="Times New Roman"/>
          <w:sz w:val="24"/>
          <w:szCs w:val="24"/>
        </w:rPr>
        <w:lastRenderedPageBreak/>
        <w:t>2021-2024</w:t>
      </w:r>
      <w:r w:rsidR="002A2D5A" w:rsidRPr="00BA784D">
        <w:rPr>
          <w:rFonts w:ascii="Times New Roman" w:eastAsia="Times New Roman" w:hAnsi="Times New Roman" w:cs="Times New Roman"/>
          <w:sz w:val="24"/>
          <w:szCs w:val="24"/>
        </w:rPr>
        <w:t>.</w:t>
      </w:r>
      <w:r w:rsidR="00F71C44" w:rsidRPr="00BA784D">
        <w:rPr>
          <w:rFonts w:ascii="Times New Roman" w:eastAsia="Times New Roman" w:hAnsi="Times New Roman" w:cs="Times New Roman"/>
          <w:sz w:val="24"/>
          <w:szCs w:val="24"/>
        </w:rPr>
        <w:t xml:space="preserve"> </w:t>
      </w:r>
      <w:r w:rsidR="002A2D5A" w:rsidRPr="00BA784D">
        <w:rPr>
          <w:rFonts w:ascii="Times New Roman" w:eastAsia="Times New Roman" w:hAnsi="Times New Roman" w:cs="Times New Roman"/>
          <w:sz w:val="24"/>
          <w:szCs w:val="24"/>
        </w:rPr>
        <w:t>El INEGI mediante el Comité Técnico Especializado de Información de Gobierno (CTEIG) que preside la Secretaría de Hacienda y Crédito Público</w:t>
      </w:r>
      <w:r w:rsidR="00FC0422" w:rsidRPr="00BA784D">
        <w:rPr>
          <w:rFonts w:ascii="Times New Roman" w:eastAsia="Times New Roman" w:hAnsi="Times New Roman" w:cs="Times New Roman"/>
          <w:sz w:val="24"/>
          <w:szCs w:val="24"/>
        </w:rPr>
        <w:t>,</w:t>
      </w:r>
      <w:r w:rsidR="002A2D5A" w:rsidRPr="00BA784D">
        <w:rPr>
          <w:rFonts w:ascii="Times New Roman" w:eastAsia="Times New Roman" w:hAnsi="Times New Roman" w:cs="Times New Roman"/>
          <w:sz w:val="24"/>
          <w:szCs w:val="24"/>
        </w:rPr>
        <w:t xml:space="preserve"> continúa revisando desde octubre de 2019 los temas que analizaba el extinto Comité Técnico Especializado de Datos Abiertos (CTEDA) así como la Norma Técnica para el acceso y publicación de Datos Abiertos de la Información Estadística y Geográfica de Interés Nacional</w:t>
      </w:r>
      <w:r w:rsidR="00FC0422" w:rsidRPr="00BA784D">
        <w:rPr>
          <w:rFonts w:ascii="Times New Roman" w:eastAsia="Times New Roman" w:hAnsi="Times New Roman" w:cs="Times New Roman"/>
          <w:sz w:val="24"/>
          <w:szCs w:val="24"/>
        </w:rPr>
        <w:t>.</w:t>
      </w:r>
    </w:p>
    <w:p w14:paraId="5BC54339" w14:textId="77777777" w:rsidR="00E35B30" w:rsidRPr="00BA784D" w:rsidRDefault="0036612A">
      <w:pPr>
        <w:widowControl/>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Algunas dependencias gubernamentales federales han puesto en marcha iniciativas de apertura y uso de datos, destacan las plataformas </w:t>
      </w:r>
      <w:hyperlink r:id="rId23">
        <w:r w:rsidRPr="00BA784D">
          <w:rPr>
            <w:rFonts w:ascii="Times New Roman" w:eastAsia="Times New Roman" w:hAnsi="Times New Roman" w:cs="Times New Roman"/>
            <w:sz w:val="24"/>
            <w:szCs w:val="24"/>
          </w:rPr>
          <w:t>DataMéxico</w:t>
        </w:r>
      </w:hyperlink>
      <w:r w:rsidRPr="00BA784D">
        <w:rPr>
          <w:rFonts w:ascii="Times New Roman" w:eastAsia="Times New Roman" w:hAnsi="Times New Roman" w:cs="Times New Roman"/>
          <w:sz w:val="24"/>
          <w:szCs w:val="24"/>
        </w:rPr>
        <w:t xml:space="preserve"> (permite exploración, visualización y descarga de datos de la economía mexicana) de la Secretaría de Economía y el </w:t>
      </w:r>
      <w:hyperlink r:id="rId24">
        <w:r w:rsidRPr="00BA784D">
          <w:rPr>
            <w:rFonts w:ascii="Times New Roman" w:eastAsia="Times New Roman" w:hAnsi="Times New Roman" w:cs="Times New Roman"/>
            <w:sz w:val="24"/>
            <w:szCs w:val="24"/>
          </w:rPr>
          <w:t>portal de datos abiertos sobre COVID</w:t>
        </w:r>
      </w:hyperlink>
      <w:r w:rsidRPr="00BA784D">
        <w:rPr>
          <w:rFonts w:ascii="Times New Roman" w:eastAsia="Times New Roman" w:hAnsi="Times New Roman" w:cs="Times New Roman"/>
          <w:sz w:val="24"/>
          <w:szCs w:val="24"/>
        </w:rPr>
        <w:t xml:space="preserve"> de la Secretaría de Salud y CONACYT</w:t>
      </w:r>
      <w:r w:rsidRPr="00BA784D">
        <w:rPr>
          <w:rFonts w:ascii="Times New Roman" w:eastAsia="Times New Roman" w:hAnsi="Times New Roman" w:cs="Times New Roman"/>
          <w:sz w:val="24"/>
          <w:szCs w:val="24"/>
          <w:vertAlign w:val="superscript"/>
        </w:rPr>
        <w:footnoteReference w:id="14"/>
      </w:r>
      <w:r w:rsidRPr="00BA784D">
        <w:rPr>
          <w:rFonts w:ascii="Times New Roman" w:eastAsia="Times New Roman" w:hAnsi="Times New Roman" w:cs="Times New Roman"/>
          <w:sz w:val="24"/>
          <w:szCs w:val="24"/>
        </w:rPr>
        <w:t>. A nivel estatal, aún son pocos los gobiernos con agendas de datos abiertos siendo el nivel municipal el espacio público menos avanzado en materia de transparencia de información pública. No obstante, existe una creciente demanda e interés en el fortalecimiento de capacidades de funcionarios públicos en materia de uso y apertura de datos.</w:t>
      </w:r>
    </w:p>
    <w:p w14:paraId="39B0D672" w14:textId="77777777"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De acuerdo con el Barómetro de Datos Abiertos de América Latina y el Caribe 2020</w:t>
      </w:r>
      <w:r w:rsidRPr="00BA784D">
        <w:rPr>
          <w:rFonts w:ascii="Times New Roman" w:eastAsia="Times New Roman" w:hAnsi="Times New Roman" w:cs="Times New Roman"/>
          <w:sz w:val="24"/>
          <w:szCs w:val="24"/>
          <w:vertAlign w:val="superscript"/>
        </w:rPr>
        <w:footnoteReference w:id="15"/>
      </w:r>
      <w:r w:rsidRPr="00BA784D">
        <w:rPr>
          <w:rFonts w:ascii="Times New Roman" w:eastAsia="Times New Roman" w:hAnsi="Times New Roman" w:cs="Times New Roman"/>
          <w:sz w:val="24"/>
          <w:szCs w:val="24"/>
        </w:rPr>
        <w:t>México tiene áreas de oportunidad en datos relacionados con propiedad de la tierra, registro de compañías y legislación, así como en el desempeño educativo básico y elecciones; sin embargo, su mayor deficiencia es respecto al impacto de los datos en lo social y económico.</w:t>
      </w:r>
    </w:p>
    <w:p w14:paraId="501FAD1A" w14:textId="77777777" w:rsidR="00E35B30" w:rsidRPr="00BA784D" w:rsidRDefault="0036612A">
      <w:pPr>
        <w:widowControl/>
        <w:spacing w:before="280" w:after="280"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noProof/>
          <w:sz w:val="24"/>
          <w:szCs w:val="24"/>
        </w:rPr>
        <w:lastRenderedPageBreak/>
        <w:drawing>
          <wp:inline distT="114300" distB="114300" distL="114300" distR="114300" wp14:anchorId="081147FB" wp14:editId="1A030D20">
            <wp:extent cx="5526257" cy="2675255"/>
            <wp:effectExtent l="0" t="0" r="0" b="0"/>
            <wp:docPr id="9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t="32782"/>
                    <a:stretch>
                      <a:fillRect/>
                    </a:stretch>
                  </pic:blipFill>
                  <pic:spPr>
                    <a:xfrm>
                      <a:off x="0" y="0"/>
                      <a:ext cx="5526257" cy="2675255"/>
                    </a:xfrm>
                    <a:prstGeom prst="rect">
                      <a:avLst/>
                    </a:prstGeom>
                    <a:ln/>
                  </pic:spPr>
                </pic:pic>
              </a:graphicData>
            </a:graphic>
          </wp:inline>
        </w:drawing>
      </w:r>
    </w:p>
    <w:p w14:paraId="6A40A88B" w14:textId="77777777"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El Barómetro presenta cuatro recomendaciones centrales:</w:t>
      </w:r>
    </w:p>
    <w:p w14:paraId="4D8EBE21" w14:textId="77777777" w:rsidR="00E35B30" w:rsidRPr="00BA784D" w:rsidRDefault="0036612A">
      <w:pPr>
        <w:widowControl/>
        <w:numPr>
          <w:ilvl w:val="0"/>
          <w:numId w:val="12"/>
        </w:numPr>
        <w:pBdr>
          <w:top w:val="nil"/>
          <w:left w:val="nil"/>
          <w:bottom w:val="nil"/>
          <w:right w:val="nil"/>
          <w:between w:val="nil"/>
        </w:pBdr>
        <w:spacing w:before="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Los gobiernos deben invertir de manera constante y sostenida en equipos que guíen e implementen políticas de datos abiertos a todos los niveles de gobierno.</w:t>
      </w:r>
    </w:p>
    <w:p w14:paraId="7820C576" w14:textId="77777777" w:rsidR="00E35B30" w:rsidRPr="00BA784D" w:rsidRDefault="0036612A">
      <w:pPr>
        <w:widowControl/>
        <w:numPr>
          <w:ilvl w:val="0"/>
          <w:numId w:val="12"/>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Los gobiernos deben considerar de forma holística los distintos aspectos de la producción y uso de datos del sector público y privado, incluyendo aspectos regulatorios en materia de privacidad, uso de datos para el bien común y tecnologías emergentes, focalizando en la inclusión de las personas más vulnerables de la sociedad.</w:t>
      </w:r>
    </w:p>
    <w:p w14:paraId="1C443907" w14:textId="77777777" w:rsidR="00E35B30" w:rsidRPr="00BA784D" w:rsidRDefault="0036612A">
      <w:pPr>
        <w:widowControl/>
        <w:numPr>
          <w:ilvl w:val="0"/>
          <w:numId w:val="12"/>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Los gobiernos deben redoblar los esfuerzos para incluir al sector privado y la sociedad civil en el ecosistema de apertura de datos para poder avanzar en la agenda y generar mejores y mayores usos de los datos para producir beneficios a los diversos grupos de la sociedad.</w:t>
      </w:r>
    </w:p>
    <w:p w14:paraId="004C9072" w14:textId="77777777" w:rsidR="00E35B30" w:rsidRPr="00BA784D" w:rsidRDefault="0036612A">
      <w:pPr>
        <w:widowControl/>
        <w:numPr>
          <w:ilvl w:val="0"/>
          <w:numId w:val="12"/>
        </w:numPr>
        <w:pBdr>
          <w:top w:val="nil"/>
          <w:left w:val="nil"/>
          <w:bottom w:val="nil"/>
          <w:right w:val="nil"/>
          <w:between w:val="nil"/>
        </w:pBdr>
        <w:spacing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Los gobiernos deben mejorar la calidad de sus datos, tomando especial cuidado en considerar las dimensiones de género, como otras variables relevantes, de forma que incluya a todas las personas en sus sociedades.</w:t>
      </w:r>
    </w:p>
    <w:p w14:paraId="144E2328" w14:textId="77777777" w:rsidR="00E35B30" w:rsidRPr="00BA784D" w:rsidRDefault="0036612A">
      <w:pPr>
        <w:widowControl/>
        <w:spacing w:before="280" w:after="280" w:line="360" w:lineRule="auto"/>
        <w:jc w:val="both"/>
        <w:rPr>
          <w:rFonts w:ascii="Times New Roman" w:eastAsia="Times New Roman" w:hAnsi="Times New Roman" w:cs="Times New Roman"/>
          <w:b/>
          <w:i/>
          <w:sz w:val="24"/>
          <w:szCs w:val="24"/>
        </w:rPr>
      </w:pPr>
      <w:r w:rsidRPr="00BA784D">
        <w:rPr>
          <w:rFonts w:ascii="Times New Roman" w:eastAsia="Times New Roman" w:hAnsi="Times New Roman" w:cs="Times New Roman"/>
          <w:b/>
          <w:i/>
          <w:sz w:val="24"/>
          <w:szCs w:val="24"/>
        </w:rPr>
        <w:t>Objetivo Estratégico 3.5: Promover la instrumentación de políticas, estrategias y acciones nacionales en materia de datos abiertos, dirigidas a optimizar el acceso, uso y aprovechamiento de la información pública en México.</w:t>
      </w:r>
    </w:p>
    <w:p w14:paraId="14A782C9" w14:textId="77777777" w:rsidR="00E35B30" w:rsidRPr="00BA784D" w:rsidRDefault="0036612A">
      <w:pPr>
        <w:widowControl/>
        <w:spacing w:before="280"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lastRenderedPageBreak/>
        <w:t>Líneas de acción:</w:t>
      </w:r>
    </w:p>
    <w:p w14:paraId="79512546" w14:textId="4B80DFB7"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3.5.1-B Línea Transversal DDHH, Enfoque de Género e Inclusión Social.</w:t>
      </w:r>
      <w:r w:rsidRPr="00BA784D">
        <w:rPr>
          <w:rFonts w:ascii="Times New Roman" w:eastAsia="Times New Roman" w:hAnsi="Times New Roman" w:cs="Times New Roman"/>
          <w:sz w:val="24"/>
          <w:szCs w:val="24"/>
        </w:rPr>
        <w:t xml:space="preserve"> Identificar, impulsar y compartir mejores prácticas de datos abiertos en el marco del SNT, sobre temas de relevancia social y dirigidos </w:t>
      </w:r>
      <w:r w:rsidR="00EF1A3F" w:rsidRPr="00BA784D">
        <w:rPr>
          <w:rFonts w:ascii="Times New Roman" w:eastAsia="Times New Roman" w:hAnsi="Times New Roman" w:cs="Times New Roman"/>
          <w:sz w:val="24"/>
          <w:szCs w:val="24"/>
        </w:rPr>
        <w:t xml:space="preserve">a </w:t>
      </w:r>
      <w:r w:rsidRPr="00BA784D">
        <w:rPr>
          <w:rFonts w:ascii="Times New Roman" w:eastAsia="Times New Roman" w:hAnsi="Times New Roman" w:cs="Times New Roman"/>
          <w:sz w:val="24"/>
          <w:szCs w:val="24"/>
        </w:rPr>
        <w:t xml:space="preserve">reducir las brechas de inclusión informativa que generan </w:t>
      </w:r>
      <w:r w:rsidR="00E238C1" w:rsidRPr="00BA784D">
        <w:rPr>
          <w:rFonts w:ascii="Times New Roman" w:eastAsia="Times New Roman" w:hAnsi="Times New Roman" w:cs="Times New Roman"/>
          <w:sz w:val="24"/>
          <w:szCs w:val="24"/>
        </w:rPr>
        <w:t>desigualdad en el ejercicio de los derechos humanos</w:t>
      </w:r>
      <w:r w:rsidRPr="00BA784D">
        <w:rPr>
          <w:rFonts w:ascii="Times New Roman" w:eastAsia="Times New Roman" w:hAnsi="Times New Roman" w:cs="Times New Roman"/>
          <w:sz w:val="24"/>
          <w:szCs w:val="24"/>
        </w:rPr>
        <w:t>; se recomienda que dichas acciones se amplíen más allá de los colaboradores habituales</w:t>
      </w:r>
      <w:r w:rsidRPr="00BA784D">
        <w:rPr>
          <w:rFonts w:ascii="Times New Roman" w:eastAsia="Times New Roman" w:hAnsi="Times New Roman" w:cs="Times New Roman"/>
          <w:sz w:val="24"/>
          <w:szCs w:val="24"/>
          <w:vertAlign w:val="superscript"/>
        </w:rPr>
        <w:footnoteReference w:id="16"/>
      </w:r>
      <w:r w:rsidR="006C22DD"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390FF309" w14:textId="27DCD09C"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3.5.2 Generar estrategias para la construcción de una política nacional de datos abiertos que permita estandarizar y homologar los procesos de publicación de información en formatos abiertos, accesibles y de calidad por parte de los sujetos obligados, en colaboración con las Comisiones del SNT correspondientes</w:t>
      </w:r>
      <w:r w:rsidR="006C22DD"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33EB6F05" w14:textId="598CF87E"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3.5.3 Desarrollar acciones para fomentar una cultura de los datos abiertos en México, orientada a su uso y aprovechamiento</w:t>
      </w:r>
      <w:r w:rsidR="006C22DD" w:rsidRPr="00BA784D">
        <w:rPr>
          <w:rFonts w:ascii="Times New Roman" w:eastAsia="Times New Roman" w:hAnsi="Times New Roman" w:cs="Times New Roman"/>
          <w:sz w:val="24"/>
          <w:szCs w:val="24"/>
        </w:rPr>
        <w:t xml:space="preserve"> </w:t>
      </w:r>
      <w:r w:rsidR="00F82145" w:rsidRPr="00BA784D">
        <w:rPr>
          <w:rFonts w:ascii="Times New Roman" w:eastAsia="Times New Roman" w:hAnsi="Times New Roman" w:cs="Times New Roman"/>
          <w:sz w:val="24"/>
          <w:szCs w:val="24"/>
        </w:rPr>
        <w:t>(</w:t>
      </w:r>
      <w:r w:rsidR="006C22DD" w:rsidRPr="00BA784D">
        <w:rPr>
          <w:rFonts w:ascii="Times New Roman" w:eastAsia="Times New Roman" w:hAnsi="Times New Roman" w:cs="Times New Roman"/>
          <w:sz w:val="24"/>
          <w:szCs w:val="24"/>
        </w:rPr>
        <w:t>INAI, OGL</w:t>
      </w:r>
      <w:r w:rsidR="00F82145"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w:t>
      </w:r>
    </w:p>
    <w:p w14:paraId="6A0EE8FB" w14:textId="1A13B318"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3.5.4 Generar estrategias para la instrumentación de la política nacional de datos abiertos en las actividades institucionales de los sujetos obligados para optimizar la transparencia y el acceso a la información pública</w:t>
      </w:r>
      <w:r w:rsidR="006C22DD" w:rsidRPr="00BA784D">
        <w:rPr>
          <w:rFonts w:ascii="Times New Roman" w:eastAsia="Times New Roman" w:hAnsi="Times New Roman" w:cs="Times New Roman"/>
          <w:sz w:val="24"/>
          <w:szCs w:val="24"/>
        </w:rPr>
        <w:t xml:space="preserve"> </w:t>
      </w:r>
      <w:r w:rsidR="00F82145" w:rsidRPr="00BA784D">
        <w:rPr>
          <w:rFonts w:ascii="Times New Roman" w:eastAsia="Times New Roman" w:hAnsi="Times New Roman" w:cs="Times New Roman"/>
          <w:sz w:val="24"/>
          <w:szCs w:val="24"/>
        </w:rPr>
        <w:t>(</w:t>
      </w:r>
      <w:r w:rsidR="006C22DD" w:rsidRPr="00BA784D">
        <w:rPr>
          <w:rFonts w:ascii="Times New Roman" w:eastAsia="Times New Roman" w:hAnsi="Times New Roman" w:cs="Times New Roman"/>
          <w:sz w:val="24"/>
          <w:szCs w:val="24"/>
        </w:rPr>
        <w:t>INAI, OGL</w:t>
      </w:r>
      <w:r w:rsidR="00F82145"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w:t>
      </w:r>
    </w:p>
    <w:p w14:paraId="590CE10A" w14:textId="6C7C1B9E" w:rsidR="00E35B30" w:rsidRPr="00BA784D" w:rsidRDefault="0036612A">
      <w:pPr>
        <w:widowControl/>
        <w:spacing w:line="360" w:lineRule="auto"/>
        <w:ind w:left="709" w:right="51" w:hanging="709"/>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3.5.5 Consolidar el desarrollo y actualización de los repositorios nacionales de información y difusión de iniciativas de Datos Abiertos, para su documentación y socialización. Así como la inclusión de prácticas desarrolladas respecto a información de interés para la sociedad de otros Sistemas Nacionales</w:t>
      </w:r>
      <w:r w:rsidR="006C22DD" w:rsidRPr="00BA784D">
        <w:rPr>
          <w:rFonts w:ascii="Times New Roman" w:eastAsia="Times New Roman" w:hAnsi="Times New Roman" w:cs="Times New Roman"/>
          <w:sz w:val="24"/>
          <w:szCs w:val="24"/>
        </w:rPr>
        <w:t xml:space="preserve"> </w:t>
      </w:r>
      <w:r w:rsidR="00F82145" w:rsidRPr="00BA784D">
        <w:rPr>
          <w:rFonts w:ascii="Times New Roman" w:eastAsia="Times New Roman" w:hAnsi="Times New Roman" w:cs="Times New Roman"/>
          <w:sz w:val="24"/>
          <w:szCs w:val="24"/>
        </w:rPr>
        <w:t>(</w:t>
      </w:r>
      <w:r w:rsidR="006C22DD" w:rsidRPr="00BA784D">
        <w:rPr>
          <w:rFonts w:ascii="Times New Roman" w:eastAsia="Times New Roman" w:hAnsi="Times New Roman" w:cs="Times New Roman"/>
          <w:sz w:val="24"/>
          <w:szCs w:val="24"/>
        </w:rPr>
        <w:t>INAI, OGL</w:t>
      </w:r>
      <w:r w:rsidR="00F82145"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 xml:space="preserve">. </w:t>
      </w:r>
    </w:p>
    <w:p w14:paraId="5E222023" w14:textId="41A2D871" w:rsidR="00E35B30" w:rsidRPr="00BA784D" w:rsidRDefault="0036612A">
      <w:pPr>
        <w:widowControl/>
        <w:spacing w:line="360" w:lineRule="auto"/>
        <w:ind w:left="709" w:right="51" w:hanging="709"/>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3.5.6-B Línea Transversal DDHH, Enfoque de Género e Inclusión Social.</w:t>
      </w:r>
      <w:r w:rsidRPr="00BA784D">
        <w:rPr>
          <w:rFonts w:ascii="Times New Roman" w:eastAsia="Times New Roman" w:hAnsi="Times New Roman" w:cs="Times New Roman"/>
          <w:sz w:val="24"/>
          <w:szCs w:val="24"/>
        </w:rPr>
        <w:t xml:space="preserve"> Propiciar iniciativas de colaboración con personas en situación de vulnerabilidad para dotar de utilidad e inclusión social a iniciativas de Datos Abiertos y reducir las brechas informativas que generan </w:t>
      </w:r>
      <w:r w:rsidR="006B377F" w:rsidRPr="00BA784D">
        <w:rPr>
          <w:rFonts w:ascii="Times New Roman" w:eastAsia="Times New Roman" w:hAnsi="Times New Roman" w:cs="Times New Roman"/>
          <w:sz w:val="24"/>
          <w:szCs w:val="24"/>
        </w:rPr>
        <w:t>desigualdad en el ejercicio de sus derechos</w:t>
      </w:r>
      <w:r w:rsidRPr="00BA784D">
        <w:rPr>
          <w:rFonts w:ascii="Times New Roman" w:eastAsia="Times New Roman" w:hAnsi="Times New Roman" w:cs="Times New Roman"/>
          <w:sz w:val="24"/>
          <w:szCs w:val="24"/>
        </w:rPr>
        <w:t>; se recomienda que dichas acciones se amplíen más allá de los colaboradores habituales</w:t>
      </w:r>
      <w:r w:rsidRPr="00BA784D">
        <w:rPr>
          <w:rFonts w:ascii="Times New Roman" w:eastAsia="Times New Roman" w:hAnsi="Times New Roman" w:cs="Times New Roman"/>
          <w:sz w:val="24"/>
          <w:szCs w:val="24"/>
          <w:vertAlign w:val="superscript"/>
        </w:rPr>
        <w:footnoteReference w:id="17"/>
      </w:r>
      <w:r w:rsidR="006C22DD" w:rsidRPr="00BA784D">
        <w:rPr>
          <w:rFonts w:ascii="Times New Roman" w:eastAsia="Times New Roman" w:hAnsi="Times New Roman" w:cs="Times New Roman"/>
          <w:sz w:val="24"/>
          <w:szCs w:val="24"/>
        </w:rPr>
        <w:t xml:space="preserve"> </w:t>
      </w:r>
      <w:r w:rsidR="00F82145" w:rsidRPr="00BA784D">
        <w:rPr>
          <w:rFonts w:ascii="Times New Roman" w:eastAsia="Times New Roman" w:hAnsi="Times New Roman" w:cs="Times New Roman"/>
          <w:sz w:val="24"/>
          <w:szCs w:val="24"/>
        </w:rPr>
        <w:t>(</w:t>
      </w:r>
      <w:r w:rsidR="006C22DD" w:rsidRPr="00BA784D">
        <w:rPr>
          <w:rFonts w:ascii="Times New Roman" w:eastAsia="Times New Roman" w:hAnsi="Times New Roman" w:cs="Times New Roman"/>
          <w:sz w:val="24"/>
          <w:szCs w:val="24"/>
        </w:rPr>
        <w:t>INAI, OGL</w:t>
      </w:r>
      <w:r w:rsidR="00F82145"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w:t>
      </w:r>
    </w:p>
    <w:p w14:paraId="5E37C0F2" w14:textId="68B6E406" w:rsidR="00E35B30" w:rsidRPr="00BA784D" w:rsidRDefault="0036612A">
      <w:pPr>
        <w:widowControl/>
        <w:spacing w:line="360" w:lineRule="auto"/>
        <w:ind w:left="709" w:right="51" w:hanging="709"/>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lastRenderedPageBreak/>
        <w:t xml:space="preserve">3.5.7-C Línea Transversal de Profesionalización y Fortalecimiento Institucional. </w:t>
      </w:r>
      <w:r w:rsidRPr="00BA784D">
        <w:rPr>
          <w:rFonts w:ascii="Times New Roman" w:eastAsia="Times New Roman" w:hAnsi="Times New Roman" w:cs="Times New Roman"/>
          <w:sz w:val="24"/>
          <w:szCs w:val="24"/>
        </w:rPr>
        <w:t>Desarrollar contenidos y acciones de capacitación de las personas del servicio público y sociedad civil para impulsar la generación de iniciativas de Datos Abiertos conforme a los esquemas desarrollados por el SNT (líneas de acción 2.1.1-C y 2.1.5-B)</w:t>
      </w:r>
      <w:r w:rsidR="006C22DD" w:rsidRPr="00BA784D">
        <w:rPr>
          <w:rFonts w:ascii="Times New Roman" w:eastAsia="Times New Roman" w:hAnsi="Times New Roman" w:cs="Times New Roman"/>
          <w:sz w:val="24"/>
          <w:szCs w:val="24"/>
        </w:rPr>
        <w:t xml:space="preserve"> </w:t>
      </w:r>
      <w:r w:rsidR="00F82145" w:rsidRPr="00BA784D">
        <w:rPr>
          <w:rFonts w:ascii="Times New Roman" w:eastAsia="Times New Roman" w:hAnsi="Times New Roman" w:cs="Times New Roman"/>
          <w:sz w:val="24"/>
          <w:szCs w:val="24"/>
        </w:rPr>
        <w:t>(</w:t>
      </w:r>
      <w:r w:rsidR="006C22DD" w:rsidRPr="00BA784D">
        <w:rPr>
          <w:rFonts w:ascii="Times New Roman" w:eastAsia="Times New Roman" w:hAnsi="Times New Roman" w:cs="Times New Roman"/>
          <w:sz w:val="24"/>
          <w:szCs w:val="24"/>
        </w:rPr>
        <w:t>INAI, OGL</w:t>
      </w:r>
      <w:r w:rsidR="00F82145"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 xml:space="preserve">. </w:t>
      </w:r>
    </w:p>
    <w:p w14:paraId="1BF1E2C7" w14:textId="2B8F421F" w:rsidR="00E35B30" w:rsidRPr="00BA784D" w:rsidRDefault="0036612A">
      <w:pPr>
        <w:widowControl/>
        <w:spacing w:line="360" w:lineRule="auto"/>
        <w:ind w:left="709" w:right="51" w:hanging="709"/>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3.5.8-A 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 xml:space="preserve">ransversal de Promoción, Difusión y Fomento de la Cultura. </w:t>
      </w:r>
      <w:r w:rsidRPr="00BA784D">
        <w:rPr>
          <w:rFonts w:ascii="Times New Roman" w:eastAsia="Times New Roman" w:hAnsi="Times New Roman" w:cs="Times New Roman"/>
          <w:sz w:val="24"/>
          <w:szCs w:val="24"/>
        </w:rPr>
        <w:t>Generar y difundir, de forma individual por integrante o en colaboración con las comisiones del SNT correspondientes, productos y materiales de comunicación sobre Datos Abiertos y su impacto en el acceso a la información pública ajustables por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 xml:space="preserve">s </w:t>
      </w:r>
      <w:r w:rsidR="00EC37B3" w:rsidRPr="00BA784D">
        <w:rPr>
          <w:rFonts w:ascii="Times New Roman" w:eastAsia="Times New Roman" w:hAnsi="Times New Roman" w:cs="Times New Roman"/>
          <w:sz w:val="24"/>
          <w:szCs w:val="24"/>
        </w:rPr>
        <w:t xml:space="preserve">instituciones </w:t>
      </w:r>
      <w:r w:rsidRPr="00BA784D">
        <w:rPr>
          <w:rFonts w:ascii="Times New Roman" w:eastAsia="Times New Roman" w:hAnsi="Times New Roman" w:cs="Times New Roman"/>
          <w:sz w:val="24"/>
          <w:szCs w:val="24"/>
        </w:rPr>
        <w:t>integrantes del SNT o sus sujetos obligados y considerando mecanismos de evaluación a su difusión, conforme a la línea de acción 2.1.7-A</w:t>
      </w:r>
      <w:r w:rsidR="006C22DD" w:rsidRPr="00BA784D">
        <w:rPr>
          <w:rFonts w:ascii="Times New Roman" w:eastAsia="Times New Roman" w:hAnsi="Times New Roman" w:cs="Times New Roman"/>
          <w:sz w:val="24"/>
          <w:szCs w:val="24"/>
        </w:rPr>
        <w:t xml:space="preserve"> </w:t>
      </w:r>
      <w:r w:rsidR="00F82145" w:rsidRPr="00BA784D">
        <w:rPr>
          <w:rFonts w:ascii="Times New Roman" w:eastAsia="Times New Roman" w:hAnsi="Times New Roman" w:cs="Times New Roman"/>
          <w:sz w:val="24"/>
          <w:szCs w:val="24"/>
        </w:rPr>
        <w:t>(</w:t>
      </w:r>
      <w:r w:rsidR="006C22DD" w:rsidRPr="00BA784D">
        <w:rPr>
          <w:rFonts w:ascii="Times New Roman" w:eastAsia="Times New Roman" w:hAnsi="Times New Roman" w:cs="Times New Roman"/>
          <w:sz w:val="24"/>
          <w:szCs w:val="24"/>
        </w:rPr>
        <w:t>INAI,</w:t>
      </w:r>
      <w:r w:rsidR="00FD4F8F">
        <w:rPr>
          <w:rFonts w:ascii="Times New Roman" w:eastAsia="Times New Roman" w:hAnsi="Times New Roman" w:cs="Times New Roman"/>
          <w:sz w:val="24"/>
          <w:szCs w:val="24"/>
        </w:rPr>
        <w:t xml:space="preserve"> </w:t>
      </w:r>
      <w:r w:rsidR="006C22DD" w:rsidRPr="00BA784D">
        <w:rPr>
          <w:rFonts w:ascii="Times New Roman" w:eastAsia="Times New Roman" w:hAnsi="Times New Roman" w:cs="Times New Roman"/>
          <w:sz w:val="24"/>
          <w:szCs w:val="24"/>
        </w:rPr>
        <w:t>OGL</w:t>
      </w:r>
      <w:r w:rsidR="00F82145"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w:t>
      </w:r>
    </w:p>
    <w:p w14:paraId="29959E1F" w14:textId="77777777" w:rsidR="00E35B30" w:rsidRPr="00BA784D" w:rsidRDefault="00E35B30">
      <w:pPr>
        <w:widowControl/>
        <w:pBdr>
          <w:top w:val="nil"/>
          <w:left w:val="nil"/>
          <w:bottom w:val="nil"/>
          <w:right w:val="nil"/>
          <w:between w:val="nil"/>
        </w:pBdr>
        <w:spacing w:line="360" w:lineRule="auto"/>
        <w:ind w:right="51"/>
        <w:jc w:val="both"/>
        <w:rPr>
          <w:rFonts w:ascii="Times New Roman" w:eastAsia="Times New Roman" w:hAnsi="Times New Roman" w:cs="Times New Roman"/>
          <w:sz w:val="24"/>
          <w:szCs w:val="24"/>
        </w:rPr>
      </w:pPr>
    </w:p>
    <w:p w14:paraId="6BDFDD15" w14:textId="77777777" w:rsidR="00E35B30" w:rsidRPr="00BA784D" w:rsidRDefault="0036612A">
      <w:pPr>
        <w:widowControl/>
        <w:spacing w:line="360" w:lineRule="auto"/>
        <w:ind w:left="680" w:right="51"/>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Estrategias:</w:t>
      </w:r>
      <w:r w:rsidRPr="00BA784D">
        <w:rPr>
          <w:rFonts w:ascii="Times New Roman" w:eastAsia="Times New Roman" w:hAnsi="Times New Roman" w:cs="Times New Roman"/>
          <w:sz w:val="24"/>
          <w:szCs w:val="24"/>
        </w:rPr>
        <w:t xml:space="preserve"> </w:t>
      </w:r>
    </w:p>
    <w:p w14:paraId="063155F5" w14:textId="77777777" w:rsidR="00E35B30" w:rsidRPr="00BA784D" w:rsidRDefault="0036612A">
      <w:pPr>
        <w:widowControl/>
        <w:numPr>
          <w:ilvl w:val="0"/>
          <w:numId w:val="20"/>
        </w:numPr>
        <w:spacing w:before="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Socialización: </w:t>
      </w:r>
      <w:r w:rsidRPr="00BA784D">
        <w:rPr>
          <w:rFonts w:ascii="Times New Roman" w:eastAsia="Times New Roman" w:hAnsi="Times New Roman" w:cs="Times New Roman"/>
          <w:sz w:val="24"/>
          <w:szCs w:val="24"/>
        </w:rPr>
        <w:t xml:space="preserve">Establecimiento de alianzas, convenios e iniciativas con instituciones, organizaciones y personas. </w:t>
      </w:r>
    </w:p>
    <w:p w14:paraId="2DBB5E10"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Coordinación:</w:t>
      </w:r>
      <w:r w:rsidRPr="00BA784D">
        <w:rPr>
          <w:rFonts w:ascii="Times New Roman" w:eastAsia="Times New Roman" w:hAnsi="Times New Roman" w:cs="Times New Roman"/>
          <w:sz w:val="24"/>
          <w:szCs w:val="24"/>
        </w:rPr>
        <w:t xml:space="preserve"> Vinculación con instancias y Comisiones del SNT </w:t>
      </w:r>
    </w:p>
    <w:p w14:paraId="08145F49"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Capacitación: </w:t>
      </w:r>
      <w:r w:rsidRPr="00BA784D">
        <w:rPr>
          <w:rFonts w:ascii="Times New Roman" w:eastAsia="Times New Roman" w:hAnsi="Times New Roman" w:cs="Times New Roman"/>
          <w:sz w:val="24"/>
          <w:szCs w:val="24"/>
        </w:rPr>
        <w:t xml:space="preserve">Instrumentos del SNT establecidos en la línea de acción 2.1.1-C. </w:t>
      </w:r>
    </w:p>
    <w:p w14:paraId="10983456" w14:textId="7C0AB875" w:rsidR="00E35B30" w:rsidRPr="00BA784D" w:rsidRDefault="0036612A">
      <w:pPr>
        <w:widowControl/>
        <w:numPr>
          <w:ilvl w:val="0"/>
          <w:numId w:val="20"/>
        </w:numPr>
        <w:spacing w:line="360" w:lineRule="auto"/>
        <w:ind w:right="51"/>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PNT y TIC</w:t>
      </w:r>
      <w:r w:rsidR="00FD4F8F">
        <w:rPr>
          <w:rFonts w:ascii="Times New Roman" w:eastAsia="Times New Roman" w:hAnsi="Times New Roman" w:cs="Times New Roman"/>
          <w:b/>
          <w:sz w:val="24"/>
          <w:szCs w:val="24"/>
        </w:rPr>
        <w:t>’</w:t>
      </w:r>
      <w:r w:rsidRPr="00BA784D">
        <w:rPr>
          <w:rFonts w:ascii="Times New Roman" w:eastAsia="Times New Roman" w:hAnsi="Times New Roman" w:cs="Times New Roman"/>
          <w:b/>
          <w:sz w:val="24"/>
          <w:szCs w:val="24"/>
        </w:rPr>
        <w:t>s:</w:t>
      </w:r>
      <w:r w:rsidRPr="00BA784D">
        <w:rPr>
          <w:rFonts w:ascii="Times New Roman" w:eastAsia="Times New Roman" w:hAnsi="Times New Roman" w:cs="Times New Roman"/>
          <w:sz w:val="24"/>
          <w:szCs w:val="24"/>
        </w:rPr>
        <w:t xml:space="preserve"> Desarrollo de micrositios y repositorios. </w:t>
      </w:r>
    </w:p>
    <w:p w14:paraId="3A1C7F4A"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Inclusión:</w:t>
      </w:r>
      <w:r w:rsidRPr="00BA784D">
        <w:rPr>
          <w:rFonts w:ascii="Times New Roman" w:eastAsia="Times New Roman" w:hAnsi="Times New Roman" w:cs="Times New Roman"/>
          <w:sz w:val="24"/>
          <w:szCs w:val="24"/>
        </w:rPr>
        <w:t xml:space="preserve"> Desarrollar acciones e iniciativas dirigidas a personas en situación de vulnerabilidad para mejorar su acceso a la información publicada en Datos Abiertos.</w:t>
      </w:r>
    </w:p>
    <w:p w14:paraId="724C0EA0"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Comunicación: </w:t>
      </w:r>
      <w:r w:rsidRPr="00BA784D">
        <w:rPr>
          <w:rFonts w:ascii="Times New Roman" w:eastAsia="Times New Roman" w:hAnsi="Times New Roman" w:cs="Times New Roman"/>
          <w:sz w:val="24"/>
          <w:szCs w:val="24"/>
        </w:rPr>
        <w:t>Acciones coordinadas y evaluadas a nivel nacional y ajustables localmente a las necesidades de Organismos Garantes y Sujetos Obligados.</w:t>
      </w:r>
    </w:p>
    <w:p w14:paraId="6AD9FAAC" w14:textId="77777777" w:rsidR="00E35B30" w:rsidRPr="00BA784D" w:rsidRDefault="00E35B30">
      <w:pPr>
        <w:widowControl/>
        <w:spacing w:line="360" w:lineRule="auto"/>
        <w:jc w:val="both"/>
        <w:rPr>
          <w:rFonts w:ascii="Times New Roman" w:eastAsia="Times New Roman" w:hAnsi="Times New Roman" w:cs="Times New Roman"/>
          <w:b/>
          <w:sz w:val="24"/>
          <w:szCs w:val="24"/>
        </w:rPr>
      </w:pPr>
    </w:p>
    <w:p w14:paraId="47727DB6"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Indicador de Resultado: </w:t>
      </w:r>
      <w:r w:rsidRPr="00BA784D">
        <w:rPr>
          <w:rFonts w:ascii="Times New Roman" w:eastAsia="Times New Roman" w:hAnsi="Times New Roman" w:cs="Times New Roman"/>
          <w:sz w:val="24"/>
          <w:szCs w:val="24"/>
        </w:rPr>
        <w:t>Porcentaje de avance en el indicador de Datos Abiertos de la Métrica de Gobierno Abierto</w:t>
      </w:r>
    </w:p>
    <w:p w14:paraId="0E4D983F"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Línea Base:</w:t>
      </w:r>
      <w:r w:rsidRPr="00BA784D">
        <w:rPr>
          <w:rFonts w:ascii="Times New Roman" w:eastAsia="Times New Roman" w:hAnsi="Times New Roman" w:cs="Times New Roman"/>
          <w:sz w:val="24"/>
          <w:szCs w:val="24"/>
        </w:rPr>
        <w:t xml:space="preserve"> 100%, Métrica de Gobierno Abierto 2017-2019</w:t>
      </w:r>
    </w:p>
    <w:p w14:paraId="51D6564B" w14:textId="77777777" w:rsidR="00E35B30" w:rsidRPr="00BA784D" w:rsidRDefault="00E35B30">
      <w:pPr>
        <w:widowControl/>
        <w:spacing w:line="360" w:lineRule="auto"/>
        <w:jc w:val="both"/>
        <w:rPr>
          <w:rFonts w:ascii="Times New Roman" w:eastAsia="Times New Roman" w:hAnsi="Times New Roman" w:cs="Times New Roman"/>
          <w:sz w:val="24"/>
          <w:szCs w:val="24"/>
        </w:rPr>
      </w:pPr>
    </w:p>
    <w:p w14:paraId="26B957EF" w14:textId="77777777" w:rsidR="00E35B30" w:rsidRPr="00BA784D" w:rsidRDefault="0036612A">
      <w:pPr>
        <w:widowControl/>
        <w:spacing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sz w:val="24"/>
          <w:szCs w:val="24"/>
        </w:rPr>
        <w:t xml:space="preserve">Se calcula el avance del indicador señalado entre una edición y otra en términos porcentuales. Revisión de la existencia y calidad de los datos publicados por el sujeto obligado. </w:t>
      </w:r>
    </w:p>
    <w:p w14:paraId="2F6F39C0" w14:textId="6B64EA26" w:rsidR="00E35B30" w:rsidRPr="00BA784D" w:rsidRDefault="0036612A">
      <w:pPr>
        <w:spacing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 xml:space="preserve">NOTA DE CAUCIÓN: Tras la construcción e implementación de la política nacional de Datos Abiertos se sugiere desarrollar indicadores que permitan dar seguimiento al </w:t>
      </w:r>
      <w:r w:rsidRPr="00BA784D">
        <w:rPr>
          <w:rFonts w:ascii="Times New Roman" w:eastAsia="Times New Roman" w:hAnsi="Times New Roman" w:cs="Times New Roman"/>
          <w:b/>
          <w:sz w:val="24"/>
          <w:szCs w:val="24"/>
        </w:rPr>
        <w:lastRenderedPageBreak/>
        <w:t>desarrollo de la materia, para lo cual se puede considerar replicar la metodología del Barómetro de Datos Abiertos de América Latina y el Caribe a nivel local.</w:t>
      </w:r>
    </w:p>
    <w:p w14:paraId="1977A360" w14:textId="4B4E2558" w:rsidR="009E6923" w:rsidRPr="00BA784D" w:rsidRDefault="009E6923">
      <w:pPr>
        <w:spacing w:line="360" w:lineRule="auto"/>
        <w:jc w:val="both"/>
        <w:rPr>
          <w:rFonts w:ascii="Times New Roman" w:eastAsia="Times New Roman" w:hAnsi="Times New Roman" w:cs="Times New Roman"/>
          <w:b/>
          <w:sz w:val="24"/>
          <w:szCs w:val="24"/>
        </w:rPr>
      </w:pPr>
    </w:p>
    <w:p w14:paraId="0FFB781D" w14:textId="465099FE" w:rsidR="009E6923" w:rsidRPr="00BA784D" w:rsidRDefault="009E6923">
      <w:pPr>
        <w:spacing w:line="360" w:lineRule="auto"/>
        <w:jc w:val="both"/>
        <w:rPr>
          <w:rFonts w:ascii="Times New Roman" w:eastAsia="Times New Roman" w:hAnsi="Times New Roman" w:cs="Times New Roman"/>
          <w:b/>
          <w:sz w:val="24"/>
          <w:szCs w:val="24"/>
        </w:rPr>
      </w:pPr>
    </w:p>
    <w:p w14:paraId="1D3070BB" w14:textId="1A711400" w:rsidR="009E6923" w:rsidRPr="00BA784D" w:rsidRDefault="009E6923">
      <w:pPr>
        <w:spacing w:line="360" w:lineRule="auto"/>
        <w:jc w:val="both"/>
        <w:rPr>
          <w:rFonts w:ascii="Times New Roman" w:eastAsia="Times New Roman" w:hAnsi="Times New Roman" w:cs="Times New Roman"/>
          <w:b/>
          <w:sz w:val="24"/>
          <w:szCs w:val="24"/>
        </w:rPr>
      </w:pPr>
    </w:p>
    <w:p w14:paraId="7F1902B6" w14:textId="191735BE" w:rsidR="009E6923" w:rsidRPr="00BA784D" w:rsidRDefault="009E6923">
      <w:pPr>
        <w:spacing w:line="360" w:lineRule="auto"/>
        <w:jc w:val="both"/>
        <w:rPr>
          <w:rFonts w:ascii="Times New Roman" w:eastAsia="Times New Roman" w:hAnsi="Times New Roman" w:cs="Times New Roman"/>
          <w:b/>
          <w:sz w:val="24"/>
          <w:szCs w:val="24"/>
        </w:rPr>
      </w:pPr>
    </w:p>
    <w:p w14:paraId="2A756E66" w14:textId="446FCDC1" w:rsidR="009E6923" w:rsidRPr="00BA784D" w:rsidRDefault="009E6923">
      <w:pPr>
        <w:spacing w:line="360" w:lineRule="auto"/>
        <w:jc w:val="both"/>
        <w:rPr>
          <w:rFonts w:ascii="Times New Roman" w:eastAsia="Times New Roman" w:hAnsi="Times New Roman" w:cs="Times New Roman"/>
          <w:b/>
          <w:sz w:val="24"/>
          <w:szCs w:val="24"/>
        </w:rPr>
      </w:pPr>
    </w:p>
    <w:p w14:paraId="10354CAB" w14:textId="42AE0AE0" w:rsidR="009E6923" w:rsidRPr="00BA784D" w:rsidRDefault="009E6923">
      <w:pPr>
        <w:spacing w:line="360" w:lineRule="auto"/>
        <w:jc w:val="both"/>
        <w:rPr>
          <w:rFonts w:ascii="Times New Roman" w:eastAsia="Times New Roman" w:hAnsi="Times New Roman" w:cs="Times New Roman"/>
          <w:b/>
          <w:sz w:val="24"/>
          <w:szCs w:val="24"/>
        </w:rPr>
      </w:pPr>
    </w:p>
    <w:p w14:paraId="29E3FC95" w14:textId="523912C9" w:rsidR="009E6923" w:rsidRPr="00BA784D" w:rsidRDefault="009E6923">
      <w:pPr>
        <w:spacing w:line="360" w:lineRule="auto"/>
        <w:jc w:val="both"/>
        <w:rPr>
          <w:rFonts w:ascii="Times New Roman" w:eastAsia="Times New Roman" w:hAnsi="Times New Roman" w:cs="Times New Roman"/>
          <w:b/>
          <w:sz w:val="24"/>
          <w:szCs w:val="24"/>
        </w:rPr>
      </w:pPr>
    </w:p>
    <w:p w14:paraId="72929CEE" w14:textId="2DCCE98B" w:rsidR="009E6923" w:rsidRPr="00BA784D" w:rsidRDefault="009E6923">
      <w:pPr>
        <w:spacing w:line="360" w:lineRule="auto"/>
        <w:jc w:val="both"/>
        <w:rPr>
          <w:rFonts w:ascii="Times New Roman" w:eastAsia="Times New Roman" w:hAnsi="Times New Roman" w:cs="Times New Roman"/>
          <w:b/>
          <w:sz w:val="24"/>
          <w:szCs w:val="24"/>
        </w:rPr>
      </w:pPr>
    </w:p>
    <w:p w14:paraId="292841BB" w14:textId="08B761F3" w:rsidR="009E6923" w:rsidRPr="00BA784D" w:rsidRDefault="009E6923">
      <w:pPr>
        <w:spacing w:line="360" w:lineRule="auto"/>
        <w:jc w:val="both"/>
        <w:rPr>
          <w:rFonts w:ascii="Times New Roman" w:eastAsia="Times New Roman" w:hAnsi="Times New Roman" w:cs="Times New Roman"/>
          <w:b/>
          <w:sz w:val="24"/>
          <w:szCs w:val="24"/>
        </w:rPr>
      </w:pPr>
    </w:p>
    <w:p w14:paraId="7E3566AA" w14:textId="2EDAA17F" w:rsidR="009E6923" w:rsidRPr="00BA784D" w:rsidRDefault="009E6923">
      <w:pPr>
        <w:spacing w:line="360" w:lineRule="auto"/>
        <w:jc w:val="both"/>
        <w:rPr>
          <w:rFonts w:ascii="Times New Roman" w:eastAsia="Times New Roman" w:hAnsi="Times New Roman" w:cs="Times New Roman"/>
          <w:b/>
          <w:sz w:val="24"/>
          <w:szCs w:val="24"/>
        </w:rPr>
      </w:pPr>
    </w:p>
    <w:p w14:paraId="14726127" w14:textId="3F6390CE" w:rsidR="009E6923" w:rsidRPr="00BA784D" w:rsidRDefault="009E6923">
      <w:pPr>
        <w:spacing w:line="360" w:lineRule="auto"/>
        <w:jc w:val="both"/>
        <w:rPr>
          <w:rFonts w:ascii="Times New Roman" w:eastAsia="Times New Roman" w:hAnsi="Times New Roman" w:cs="Times New Roman"/>
          <w:b/>
          <w:sz w:val="24"/>
          <w:szCs w:val="24"/>
        </w:rPr>
      </w:pPr>
    </w:p>
    <w:p w14:paraId="69B6FEB5" w14:textId="30066744" w:rsidR="009E6923" w:rsidRPr="00BA784D" w:rsidRDefault="009E6923">
      <w:pPr>
        <w:spacing w:line="360" w:lineRule="auto"/>
        <w:jc w:val="both"/>
        <w:rPr>
          <w:rFonts w:ascii="Times New Roman" w:eastAsia="Times New Roman" w:hAnsi="Times New Roman" w:cs="Times New Roman"/>
          <w:b/>
          <w:sz w:val="24"/>
          <w:szCs w:val="24"/>
        </w:rPr>
      </w:pPr>
    </w:p>
    <w:p w14:paraId="00B47399" w14:textId="15CC666B" w:rsidR="009E6923" w:rsidRPr="00BA784D" w:rsidRDefault="009E6923">
      <w:pPr>
        <w:spacing w:line="360" w:lineRule="auto"/>
        <w:jc w:val="both"/>
        <w:rPr>
          <w:rFonts w:ascii="Times New Roman" w:eastAsia="Times New Roman" w:hAnsi="Times New Roman" w:cs="Times New Roman"/>
          <w:b/>
          <w:sz w:val="24"/>
          <w:szCs w:val="24"/>
        </w:rPr>
      </w:pPr>
    </w:p>
    <w:p w14:paraId="5D81DDC0" w14:textId="40C09C4C" w:rsidR="009E6923" w:rsidRPr="00BA784D" w:rsidRDefault="009E6923">
      <w:pPr>
        <w:spacing w:line="360" w:lineRule="auto"/>
        <w:jc w:val="both"/>
        <w:rPr>
          <w:rFonts w:ascii="Times New Roman" w:eastAsia="Times New Roman" w:hAnsi="Times New Roman" w:cs="Times New Roman"/>
          <w:b/>
          <w:sz w:val="24"/>
          <w:szCs w:val="24"/>
        </w:rPr>
      </w:pPr>
    </w:p>
    <w:p w14:paraId="3838E0E8" w14:textId="211A72BA" w:rsidR="009E6923" w:rsidRPr="00BA784D" w:rsidRDefault="009E6923">
      <w:pPr>
        <w:spacing w:line="360" w:lineRule="auto"/>
        <w:jc w:val="both"/>
        <w:rPr>
          <w:rFonts w:ascii="Times New Roman" w:eastAsia="Times New Roman" w:hAnsi="Times New Roman" w:cs="Times New Roman"/>
          <w:b/>
          <w:sz w:val="24"/>
          <w:szCs w:val="24"/>
        </w:rPr>
      </w:pPr>
    </w:p>
    <w:p w14:paraId="0EB009DD" w14:textId="3FD2DE66" w:rsidR="009E6923" w:rsidRPr="00BA784D" w:rsidRDefault="009E6923">
      <w:pPr>
        <w:spacing w:line="360" w:lineRule="auto"/>
        <w:jc w:val="both"/>
        <w:rPr>
          <w:rFonts w:ascii="Times New Roman" w:eastAsia="Times New Roman" w:hAnsi="Times New Roman" w:cs="Times New Roman"/>
          <w:b/>
          <w:sz w:val="24"/>
          <w:szCs w:val="24"/>
        </w:rPr>
      </w:pPr>
    </w:p>
    <w:p w14:paraId="17AAD0EA" w14:textId="3D9905A8" w:rsidR="009E6923" w:rsidRPr="00BA784D" w:rsidRDefault="009E6923">
      <w:pPr>
        <w:spacing w:line="360" w:lineRule="auto"/>
        <w:jc w:val="both"/>
        <w:rPr>
          <w:rFonts w:ascii="Times New Roman" w:eastAsia="Times New Roman" w:hAnsi="Times New Roman" w:cs="Times New Roman"/>
          <w:b/>
          <w:sz w:val="24"/>
          <w:szCs w:val="24"/>
        </w:rPr>
      </w:pPr>
    </w:p>
    <w:p w14:paraId="327AD181" w14:textId="422C8D15" w:rsidR="009E6923" w:rsidRPr="00BA784D" w:rsidRDefault="009E6923">
      <w:pPr>
        <w:spacing w:line="360" w:lineRule="auto"/>
        <w:jc w:val="both"/>
        <w:rPr>
          <w:rFonts w:ascii="Times New Roman" w:eastAsia="Times New Roman" w:hAnsi="Times New Roman" w:cs="Times New Roman"/>
          <w:b/>
          <w:sz w:val="24"/>
          <w:szCs w:val="24"/>
        </w:rPr>
      </w:pPr>
    </w:p>
    <w:p w14:paraId="422D2C08" w14:textId="2B8FD4C2" w:rsidR="009E6923" w:rsidRPr="00BA784D" w:rsidRDefault="009E6923">
      <w:pPr>
        <w:spacing w:line="360" w:lineRule="auto"/>
        <w:jc w:val="both"/>
        <w:rPr>
          <w:rFonts w:ascii="Times New Roman" w:eastAsia="Times New Roman" w:hAnsi="Times New Roman" w:cs="Times New Roman"/>
          <w:b/>
          <w:sz w:val="24"/>
          <w:szCs w:val="24"/>
        </w:rPr>
      </w:pPr>
    </w:p>
    <w:p w14:paraId="47E1E274" w14:textId="1962F3D9" w:rsidR="009E6923" w:rsidRPr="00BA784D" w:rsidRDefault="009E6923">
      <w:pPr>
        <w:spacing w:line="360" w:lineRule="auto"/>
        <w:jc w:val="both"/>
        <w:rPr>
          <w:rFonts w:ascii="Times New Roman" w:eastAsia="Times New Roman" w:hAnsi="Times New Roman" w:cs="Times New Roman"/>
          <w:b/>
          <w:sz w:val="24"/>
          <w:szCs w:val="24"/>
        </w:rPr>
      </w:pPr>
    </w:p>
    <w:p w14:paraId="04318AA0" w14:textId="789E80FE" w:rsidR="009E6923" w:rsidRPr="00BA784D" w:rsidRDefault="009E6923">
      <w:pPr>
        <w:spacing w:line="360" w:lineRule="auto"/>
        <w:jc w:val="both"/>
        <w:rPr>
          <w:rFonts w:ascii="Times New Roman" w:eastAsia="Times New Roman" w:hAnsi="Times New Roman" w:cs="Times New Roman"/>
          <w:b/>
          <w:sz w:val="24"/>
          <w:szCs w:val="24"/>
        </w:rPr>
      </w:pPr>
    </w:p>
    <w:p w14:paraId="73C78682" w14:textId="1FE85193" w:rsidR="009E6923" w:rsidRPr="00BA784D" w:rsidRDefault="009E6923">
      <w:pPr>
        <w:spacing w:line="360" w:lineRule="auto"/>
        <w:jc w:val="both"/>
        <w:rPr>
          <w:rFonts w:ascii="Times New Roman" w:eastAsia="Times New Roman" w:hAnsi="Times New Roman" w:cs="Times New Roman"/>
          <w:b/>
          <w:sz w:val="24"/>
          <w:szCs w:val="24"/>
        </w:rPr>
      </w:pPr>
    </w:p>
    <w:p w14:paraId="2E8E2721" w14:textId="497B24C5" w:rsidR="009E6923" w:rsidRPr="00BA784D" w:rsidRDefault="009E6923">
      <w:pPr>
        <w:spacing w:line="360" w:lineRule="auto"/>
        <w:jc w:val="both"/>
        <w:rPr>
          <w:rFonts w:ascii="Times New Roman" w:eastAsia="Times New Roman" w:hAnsi="Times New Roman" w:cs="Times New Roman"/>
          <w:b/>
          <w:sz w:val="24"/>
          <w:szCs w:val="24"/>
        </w:rPr>
      </w:pPr>
    </w:p>
    <w:p w14:paraId="143E659F" w14:textId="752324A5" w:rsidR="009E6923" w:rsidRPr="00BA784D" w:rsidRDefault="009E6923">
      <w:pPr>
        <w:spacing w:line="360" w:lineRule="auto"/>
        <w:jc w:val="both"/>
        <w:rPr>
          <w:rFonts w:ascii="Times New Roman" w:eastAsia="Times New Roman" w:hAnsi="Times New Roman" w:cs="Times New Roman"/>
          <w:b/>
          <w:sz w:val="24"/>
          <w:szCs w:val="24"/>
        </w:rPr>
      </w:pPr>
    </w:p>
    <w:p w14:paraId="6041CB25" w14:textId="02F4A7D5" w:rsidR="009E6923" w:rsidRPr="00BA784D" w:rsidRDefault="009E6923">
      <w:pPr>
        <w:spacing w:line="360" w:lineRule="auto"/>
        <w:jc w:val="both"/>
        <w:rPr>
          <w:rFonts w:ascii="Times New Roman" w:eastAsia="Times New Roman" w:hAnsi="Times New Roman" w:cs="Times New Roman"/>
          <w:b/>
          <w:sz w:val="24"/>
          <w:szCs w:val="24"/>
        </w:rPr>
      </w:pPr>
    </w:p>
    <w:p w14:paraId="7ED735B2" w14:textId="5F57F7CF" w:rsidR="009E6923" w:rsidRPr="00BA784D" w:rsidRDefault="009E6923">
      <w:pPr>
        <w:spacing w:line="360" w:lineRule="auto"/>
        <w:jc w:val="both"/>
        <w:rPr>
          <w:rFonts w:ascii="Times New Roman" w:eastAsia="Times New Roman" w:hAnsi="Times New Roman" w:cs="Times New Roman"/>
          <w:b/>
          <w:sz w:val="24"/>
          <w:szCs w:val="24"/>
        </w:rPr>
      </w:pPr>
    </w:p>
    <w:p w14:paraId="4CCAB46A" w14:textId="44DDFA07" w:rsidR="009E6923" w:rsidRPr="00BA784D" w:rsidRDefault="009E6923">
      <w:pPr>
        <w:spacing w:line="360" w:lineRule="auto"/>
        <w:jc w:val="both"/>
        <w:rPr>
          <w:rFonts w:ascii="Times New Roman" w:eastAsia="Times New Roman" w:hAnsi="Times New Roman" w:cs="Times New Roman"/>
          <w:b/>
          <w:sz w:val="24"/>
          <w:szCs w:val="24"/>
        </w:rPr>
      </w:pPr>
    </w:p>
    <w:p w14:paraId="12CDCB1E" w14:textId="285EE198" w:rsidR="009E6923" w:rsidRPr="00BA784D" w:rsidRDefault="009E6923">
      <w:pPr>
        <w:spacing w:line="360" w:lineRule="auto"/>
        <w:jc w:val="both"/>
        <w:rPr>
          <w:rFonts w:ascii="Times New Roman" w:eastAsia="Times New Roman" w:hAnsi="Times New Roman" w:cs="Times New Roman"/>
          <w:b/>
          <w:sz w:val="24"/>
          <w:szCs w:val="24"/>
        </w:rPr>
      </w:pPr>
    </w:p>
    <w:p w14:paraId="5B01500B" w14:textId="10B8F92E" w:rsidR="009E6923" w:rsidRPr="00BA784D" w:rsidRDefault="009E6923">
      <w:pPr>
        <w:spacing w:line="360" w:lineRule="auto"/>
        <w:jc w:val="both"/>
        <w:rPr>
          <w:rFonts w:ascii="Times New Roman" w:eastAsia="Times New Roman" w:hAnsi="Times New Roman" w:cs="Times New Roman"/>
          <w:b/>
          <w:sz w:val="24"/>
          <w:szCs w:val="24"/>
        </w:rPr>
      </w:pPr>
    </w:p>
    <w:p w14:paraId="08BAFCBD" w14:textId="77777777" w:rsidR="00E35B30" w:rsidRPr="00BA784D" w:rsidRDefault="0036612A">
      <w:pPr>
        <w:pStyle w:val="Ttulo2"/>
        <w:spacing w:line="360" w:lineRule="auto"/>
        <w:ind w:left="0" w:firstLine="22"/>
        <w:rPr>
          <w:sz w:val="24"/>
          <w:szCs w:val="24"/>
        </w:rPr>
      </w:pPr>
      <w:bookmarkStart w:id="29" w:name="_heading=h.ihv636" w:colFirst="0" w:colLast="0"/>
      <w:bookmarkStart w:id="30" w:name="_Toc102051234"/>
      <w:bookmarkEnd w:id="29"/>
      <w:r w:rsidRPr="00BA784D">
        <w:rPr>
          <w:sz w:val="24"/>
          <w:szCs w:val="24"/>
        </w:rPr>
        <w:lastRenderedPageBreak/>
        <w:t>Eje 4. Rendición de Cuentas y Anticorrupción</w:t>
      </w:r>
      <w:bookmarkEnd w:id="30"/>
    </w:p>
    <w:p w14:paraId="087E97AF" w14:textId="6313DDCB"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Síntesis de la problemática identificada en el diagnóstico</w:t>
      </w:r>
      <w:r w:rsidRPr="00BA784D">
        <w:rPr>
          <w:rFonts w:ascii="Times New Roman" w:eastAsia="Times New Roman" w:hAnsi="Times New Roman" w:cs="Times New Roman"/>
          <w:sz w:val="24"/>
          <w:szCs w:val="24"/>
        </w:rPr>
        <w:t>: En el diagnóstico se identificó un avance positivo en los procesos para la publicación de información orientada a fomentar la rendición de cuentas en los Sujetos Obligados considerando las perspectivas de la sociedad civil, pero aún son menos de la mitad de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que están implementando estrategias para las temáticas de cultura de la legalidad, fiscalización, seguimiento, vigilancia y contraloría de recursos públicos.</w:t>
      </w:r>
    </w:p>
    <w:p w14:paraId="7B8DD0D0" w14:textId="3F423200"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En el eje temático de </w:t>
      </w:r>
      <w:r w:rsidRPr="00BA784D">
        <w:rPr>
          <w:rFonts w:ascii="Times New Roman" w:eastAsia="Times New Roman" w:hAnsi="Times New Roman" w:cs="Times New Roman"/>
          <w:i/>
          <w:sz w:val="24"/>
          <w:szCs w:val="24"/>
        </w:rPr>
        <w:t>Rendición de Cuentas</w:t>
      </w:r>
      <w:r w:rsidRPr="00BA784D">
        <w:rPr>
          <w:rFonts w:ascii="Times New Roman" w:eastAsia="Times New Roman" w:hAnsi="Times New Roman" w:cs="Times New Roman"/>
          <w:sz w:val="24"/>
          <w:szCs w:val="24"/>
        </w:rPr>
        <w:t xml:space="preserve"> en el PROTAI 2017-2021, se auto reportaron únicamente 72 actividades por parte de los Organismos Garantes </w:t>
      </w:r>
      <w:r w:rsidR="00404DD0" w:rsidRPr="00BA784D">
        <w:rPr>
          <w:rFonts w:ascii="Times New Roman" w:eastAsia="Times New Roman" w:hAnsi="Times New Roman" w:cs="Times New Roman"/>
          <w:sz w:val="24"/>
          <w:szCs w:val="24"/>
        </w:rPr>
        <w:t>L</w:t>
      </w:r>
      <w:r w:rsidRPr="00BA784D">
        <w:rPr>
          <w:rFonts w:ascii="Times New Roman" w:eastAsia="Times New Roman" w:hAnsi="Times New Roman" w:cs="Times New Roman"/>
          <w:sz w:val="24"/>
          <w:szCs w:val="24"/>
        </w:rPr>
        <w:t xml:space="preserve">ocales, siendo el eje que cuenta con el menor número de actividades de 2018 a 2021 en comparación con el resto y únicamente participaron 15 Organismos Garantes </w:t>
      </w:r>
      <w:r w:rsidR="00404DD0" w:rsidRPr="00BA784D">
        <w:rPr>
          <w:rFonts w:ascii="Times New Roman" w:eastAsia="Times New Roman" w:hAnsi="Times New Roman" w:cs="Times New Roman"/>
          <w:sz w:val="24"/>
          <w:szCs w:val="24"/>
        </w:rPr>
        <w:t>L</w:t>
      </w:r>
      <w:r w:rsidRPr="00BA784D">
        <w:rPr>
          <w:rFonts w:ascii="Times New Roman" w:eastAsia="Times New Roman" w:hAnsi="Times New Roman" w:cs="Times New Roman"/>
          <w:sz w:val="24"/>
          <w:szCs w:val="24"/>
        </w:rPr>
        <w:t>ocales en su implementación.</w:t>
      </w:r>
    </w:p>
    <w:p w14:paraId="0A90BD44" w14:textId="6984F2FA" w:rsidR="00E35B30" w:rsidRPr="00BA784D" w:rsidRDefault="0036612A">
      <w:pPr>
        <w:widowControl/>
        <w:spacing w:before="280" w:after="280"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i/>
          <w:sz w:val="24"/>
          <w:szCs w:val="24"/>
        </w:rPr>
        <w:t xml:space="preserve">Objetivo Estratégico 4.1 Fortalecer la Transparencia y el Acceso a la Información </w:t>
      </w:r>
      <w:r w:rsidR="006B377F" w:rsidRPr="00BA784D">
        <w:rPr>
          <w:rFonts w:ascii="Times New Roman" w:eastAsia="Times New Roman" w:hAnsi="Times New Roman" w:cs="Times New Roman"/>
          <w:b/>
          <w:i/>
          <w:sz w:val="24"/>
          <w:szCs w:val="24"/>
        </w:rPr>
        <w:t>P</w:t>
      </w:r>
      <w:r w:rsidRPr="00BA784D">
        <w:rPr>
          <w:rFonts w:ascii="Times New Roman" w:eastAsia="Times New Roman" w:hAnsi="Times New Roman" w:cs="Times New Roman"/>
          <w:b/>
          <w:i/>
          <w:sz w:val="24"/>
          <w:szCs w:val="24"/>
        </w:rPr>
        <w:t>ública como medios para la fiscalización, rendición de cuentas y denuncia de actos de corrupción en la sociedad en coordinación con el Sistema Nacional Anticorrupción y el Sistema Nacional de Fiscalización.</w:t>
      </w:r>
    </w:p>
    <w:p w14:paraId="6DB99D5C" w14:textId="77777777" w:rsidR="00E35B30" w:rsidRPr="00BA784D" w:rsidRDefault="0036612A">
      <w:pPr>
        <w:widowControl/>
        <w:spacing w:before="280" w:after="280" w:line="360" w:lineRule="auto"/>
        <w:jc w:val="both"/>
        <w:rPr>
          <w:rFonts w:ascii="Times New Roman" w:eastAsia="Times New Roman" w:hAnsi="Times New Roman" w:cs="Times New Roman"/>
          <w:b/>
          <w:i/>
          <w:sz w:val="24"/>
          <w:szCs w:val="24"/>
        </w:rPr>
      </w:pPr>
      <w:r w:rsidRPr="00BA784D">
        <w:rPr>
          <w:rFonts w:ascii="Times New Roman" w:eastAsia="Times New Roman" w:hAnsi="Times New Roman" w:cs="Times New Roman"/>
          <w:b/>
          <w:sz w:val="24"/>
          <w:szCs w:val="24"/>
        </w:rPr>
        <w:t>Líneas de acción:</w:t>
      </w:r>
    </w:p>
    <w:p w14:paraId="04D6D374" w14:textId="5C5B19E9"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4.1.1 </w:t>
      </w:r>
      <w:r w:rsidR="004C6B7A" w:rsidRPr="00BA784D">
        <w:rPr>
          <w:rFonts w:ascii="Times New Roman" w:eastAsia="Times New Roman" w:hAnsi="Times New Roman" w:cs="Times New Roman"/>
          <w:sz w:val="24"/>
          <w:szCs w:val="24"/>
        </w:rPr>
        <w:t xml:space="preserve">Considerar </w:t>
      </w:r>
      <w:r w:rsidRPr="00BA784D">
        <w:rPr>
          <w:rFonts w:ascii="Times New Roman" w:eastAsia="Times New Roman" w:hAnsi="Times New Roman" w:cs="Times New Roman"/>
          <w:sz w:val="24"/>
          <w:szCs w:val="24"/>
        </w:rPr>
        <w:t>a la Comisión de Rendición de Cuentas</w:t>
      </w:r>
      <w:r w:rsidR="00AC0960" w:rsidRPr="00BA784D">
        <w:rPr>
          <w:rFonts w:ascii="Times New Roman" w:eastAsia="Times New Roman" w:hAnsi="Times New Roman" w:cs="Times New Roman"/>
          <w:sz w:val="24"/>
          <w:szCs w:val="24"/>
        </w:rPr>
        <w:t xml:space="preserve"> y Combate a la Corrupción</w:t>
      </w:r>
      <w:r w:rsidRPr="00BA784D">
        <w:rPr>
          <w:rFonts w:ascii="Times New Roman" w:eastAsia="Times New Roman" w:hAnsi="Times New Roman" w:cs="Times New Roman"/>
          <w:sz w:val="24"/>
          <w:szCs w:val="24"/>
        </w:rPr>
        <w:t xml:space="preserve"> del SNT como </w:t>
      </w:r>
      <w:r w:rsidR="00AC0960" w:rsidRPr="00BA784D">
        <w:rPr>
          <w:rFonts w:ascii="Times New Roman" w:eastAsia="Times New Roman" w:hAnsi="Times New Roman" w:cs="Times New Roman"/>
          <w:sz w:val="24"/>
          <w:szCs w:val="24"/>
        </w:rPr>
        <w:t xml:space="preserve">un </w:t>
      </w:r>
      <w:r w:rsidRPr="00BA784D">
        <w:rPr>
          <w:rFonts w:ascii="Times New Roman" w:eastAsia="Times New Roman" w:hAnsi="Times New Roman" w:cs="Times New Roman"/>
          <w:sz w:val="24"/>
          <w:szCs w:val="24"/>
        </w:rPr>
        <w:t>espacio</w:t>
      </w:r>
      <w:r w:rsidR="00AC0960" w:rsidRPr="00BA784D">
        <w:rPr>
          <w:rFonts w:ascii="Times New Roman" w:eastAsia="Times New Roman" w:hAnsi="Times New Roman" w:cs="Times New Roman"/>
          <w:sz w:val="24"/>
          <w:szCs w:val="24"/>
        </w:rPr>
        <w:t xml:space="preserve"> en el que se recuperen la experiencia y puntos de vista de </w:t>
      </w:r>
      <w:r w:rsidR="004C6B7A" w:rsidRPr="00BA784D">
        <w:rPr>
          <w:rFonts w:ascii="Times New Roman" w:eastAsia="Times New Roman" w:hAnsi="Times New Roman" w:cs="Times New Roman"/>
          <w:sz w:val="24"/>
          <w:szCs w:val="24"/>
        </w:rPr>
        <w:t>su</w:t>
      </w:r>
      <w:r w:rsidR="00AC0960" w:rsidRPr="00BA784D">
        <w:rPr>
          <w:rFonts w:ascii="Times New Roman" w:eastAsia="Times New Roman" w:hAnsi="Times New Roman" w:cs="Times New Roman"/>
          <w:sz w:val="24"/>
          <w:szCs w:val="24"/>
        </w:rPr>
        <w:t xml:space="preserve">s integrantes </w:t>
      </w:r>
      <w:r w:rsidR="004C6B7A" w:rsidRPr="00BA784D">
        <w:rPr>
          <w:rFonts w:ascii="Times New Roman" w:eastAsia="Times New Roman" w:hAnsi="Times New Roman" w:cs="Times New Roman"/>
          <w:sz w:val="24"/>
          <w:szCs w:val="24"/>
        </w:rPr>
        <w:t>con la finalidad de realizar propuestas en temas de rendición de cuentas, fiscalización y combate a la corrupción para consideración del Consejo Nacional del SNT</w:t>
      </w:r>
      <w:r w:rsidR="00BA784D">
        <w:rPr>
          <w:rFonts w:ascii="Times New Roman" w:eastAsia="Times New Roman" w:hAnsi="Times New Roman" w:cs="Times New Roman"/>
          <w:sz w:val="24"/>
          <w:szCs w:val="24"/>
        </w:rPr>
        <w:t xml:space="preserve"> </w:t>
      </w:r>
      <w:r w:rsidR="00F82145" w:rsidRPr="00BA784D">
        <w:rPr>
          <w:rFonts w:ascii="Times New Roman" w:eastAsia="Times New Roman" w:hAnsi="Times New Roman" w:cs="Times New Roman"/>
          <w:sz w:val="24"/>
          <w:szCs w:val="24"/>
        </w:rPr>
        <w:t>(</w:t>
      </w:r>
      <w:r w:rsidR="000B26A5" w:rsidRPr="00BA784D">
        <w:rPr>
          <w:rFonts w:ascii="Times New Roman" w:eastAsia="Times New Roman" w:hAnsi="Times New Roman" w:cs="Times New Roman"/>
          <w:sz w:val="24"/>
          <w:szCs w:val="24"/>
        </w:rPr>
        <w:t>INAI, ASF, OGL</w:t>
      </w:r>
      <w:r w:rsidR="00F82145"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w:t>
      </w:r>
    </w:p>
    <w:p w14:paraId="407AB486" w14:textId="7276603E"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4.1.2-A 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 xml:space="preserve">ransversal de Promoción, Difusión y Fomento de la Cultura. </w:t>
      </w:r>
      <w:r w:rsidRPr="00BA784D">
        <w:rPr>
          <w:rFonts w:ascii="Times New Roman" w:eastAsia="Times New Roman" w:hAnsi="Times New Roman" w:cs="Times New Roman"/>
          <w:sz w:val="24"/>
          <w:szCs w:val="24"/>
        </w:rPr>
        <w:t>Establecer</w:t>
      </w:r>
      <w:r w:rsidR="0000748B" w:rsidRPr="00BA784D">
        <w:rPr>
          <w:rFonts w:ascii="Times New Roman" w:eastAsia="Times New Roman" w:hAnsi="Times New Roman" w:cs="Times New Roman"/>
          <w:sz w:val="24"/>
          <w:szCs w:val="24"/>
        </w:rPr>
        <w:t>, por parte de la Comisión de Vinculación, Promoción, Difusión y Comunicación Social del SNT,</w:t>
      </w:r>
      <w:r w:rsidRPr="00BA784D">
        <w:rPr>
          <w:rFonts w:ascii="Times New Roman" w:eastAsia="Times New Roman" w:hAnsi="Times New Roman" w:cs="Times New Roman"/>
          <w:sz w:val="24"/>
          <w:szCs w:val="24"/>
        </w:rPr>
        <w:t xml:space="preserve"> una estrategia de difusión nacional, en redes sociales, sobre el vínculo entre el ejercicio del Derecho de Acceso a la Información con la fiscalización, rendición de cuentas y la identificación y denuncia de actos de corrupción</w:t>
      </w:r>
      <w:r w:rsidR="002C0BA2" w:rsidRPr="00BA784D">
        <w:rPr>
          <w:rFonts w:ascii="Times New Roman" w:eastAsia="Times New Roman" w:hAnsi="Times New Roman" w:cs="Times New Roman"/>
          <w:sz w:val="24"/>
          <w:szCs w:val="24"/>
        </w:rPr>
        <w:t>.</w:t>
      </w:r>
      <w:r w:rsidR="006B377F" w:rsidRPr="00BA784D">
        <w:rPr>
          <w:rFonts w:ascii="Times New Roman" w:eastAsia="Times New Roman" w:hAnsi="Times New Roman" w:cs="Times New Roman"/>
          <w:sz w:val="24"/>
          <w:szCs w:val="24"/>
        </w:rPr>
        <w:t xml:space="preserve"> </w:t>
      </w:r>
      <w:r w:rsidR="00F82145" w:rsidRPr="00BA784D">
        <w:rPr>
          <w:rFonts w:ascii="Times New Roman" w:eastAsia="Times New Roman" w:hAnsi="Times New Roman" w:cs="Times New Roman"/>
          <w:sz w:val="24"/>
          <w:szCs w:val="24"/>
        </w:rPr>
        <w:t>(INAI, ASF, OGL)</w:t>
      </w:r>
      <w:r w:rsidRPr="00BA784D">
        <w:rPr>
          <w:rFonts w:ascii="Times New Roman" w:eastAsia="Times New Roman" w:hAnsi="Times New Roman" w:cs="Times New Roman"/>
          <w:sz w:val="24"/>
          <w:szCs w:val="24"/>
        </w:rPr>
        <w:t>.</w:t>
      </w:r>
    </w:p>
    <w:p w14:paraId="3E6C590A" w14:textId="07A03A49"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lastRenderedPageBreak/>
        <w:t xml:space="preserve">4.1.3-C Línea Transversal de Profesionalización y Fortalecimiento Institucional. </w:t>
      </w:r>
      <w:r w:rsidRPr="00BA784D">
        <w:rPr>
          <w:rFonts w:ascii="Times New Roman" w:eastAsia="Times New Roman" w:hAnsi="Times New Roman" w:cs="Times New Roman"/>
          <w:sz w:val="24"/>
          <w:szCs w:val="24"/>
        </w:rPr>
        <w:t>Consolidar el uso de la Herramienta de Autoevaluación de la Integridad (INTOSAINT)</w:t>
      </w:r>
      <w:r w:rsidRPr="00BA784D">
        <w:rPr>
          <w:rFonts w:ascii="Times New Roman" w:eastAsia="Times New Roman" w:hAnsi="Times New Roman" w:cs="Times New Roman"/>
          <w:sz w:val="24"/>
          <w:szCs w:val="24"/>
          <w:vertAlign w:val="superscript"/>
        </w:rPr>
        <w:footnoteReference w:id="18"/>
      </w:r>
      <w:r w:rsidRPr="00BA784D">
        <w:rPr>
          <w:rFonts w:ascii="Times New Roman" w:eastAsia="Times New Roman" w:hAnsi="Times New Roman" w:cs="Times New Roman"/>
          <w:sz w:val="24"/>
          <w:szCs w:val="24"/>
        </w:rPr>
        <w:t xml:space="preserve"> en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 xml:space="preserve">s </w:t>
      </w:r>
      <w:r w:rsidR="00EC37B3" w:rsidRPr="00BA784D">
        <w:rPr>
          <w:rFonts w:ascii="Times New Roman" w:eastAsia="Times New Roman" w:hAnsi="Times New Roman" w:cs="Times New Roman"/>
          <w:sz w:val="24"/>
          <w:szCs w:val="24"/>
        </w:rPr>
        <w:t xml:space="preserve">instituciones </w:t>
      </w:r>
      <w:r w:rsidRPr="00BA784D">
        <w:rPr>
          <w:rFonts w:ascii="Times New Roman" w:eastAsia="Times New Roman" w:hAnsi="Times New Roman" w:cs="Times New Roman"/>
          <w:sz w:val="24"/>
          <w:szCs w:val="24"/>
        </w:rPr>
        <w:t>integrantes del SNT e implementar las acciones derivadas del análisis de riesgo</w:t>
      </w:r>
      <w:r w:rsidR="00064716" w:rsidRPr="00BA784D">
        <w:rPr>
          <w:rFonts w:ascii="Times New Roman" w:eastAsia="Times New Roman" w:hAnsi="Times New Roman" w:cs="Times New Roman"/>
          <w:sz w:val="24"/>
          <w:szCs w:val="24"/>
        </w:rPr>
        <w:t xml:space="preserve"> (INAI, ASF, OGL)</w:t>
      </w:r>
      <w:r w:rsidRPr="00BA784D">
        <w:rPr>
          <w:rFonts w:ascii="Times New Roman" w:eastAsia="Times New Roman" w:hAnsi="Times New Roman" w:cs="Times New Roman"/>
          <w:sz w:val="24"/>
          <w:szCs w:val="24"/>
        </w:rPr>
        <w:t>.</w:t>
      </w:r>
    </w:p>
    <w:p w14:paraId="5DA09EBC" w14:textId="7525C79B"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4.1.4-C Línea Transversal de Profesionalización y Fortalecimiento Institucional. </w:t>
      </w:r>
      <w:r w:rsidRPr="00BA784D">
        <w:rPr>
          <w:rFonts w:ascii="Times New Roman" w:eastAsia="Times New Roman" w:hAnsi="Times New Roman" w:cs="Times New Roman"/>
          <w:sz w:val="24"/>
          <w:szCs w:val="24"/>
        </w:rPr>
        <w:t>Desarrollar e implementar en el marco del SNT un modelo de Rendición de Cuentas con personas usuarias y actores sociales relevantes para los Organismos Garantes que pueda ser incluido en los planes y programas institucionales de sus integrantes</w:t>
      </w:r>
      <w:r w:rsidR="00064716"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75F684C9" w14:textId="045E451A"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4.1.5-C Línea Transversal de Profesionalización y Fortalecimiento Institucional.</w:t>
      </w:r>
      <w:r w:rsidRPr="00BA784D">
        <w:rPr>
          <w:rFonts w:ascii="Times New Roman" w:eastAsia="Times New Roman" w:hAnsi="Times New Roman" w:cs="Times New Roman"/>
          <w:sz w:val="24"/>
          <w:szCs w:val="24"/>
        </w:rPr>
        <w:t xml:space="preserve"> Implementar el modelo de planeación y seguimiento de resultados institucionales de los Organismos Garantes señalado en la línea de acción 2.1.10-C para mejorar la rendición de cuentas del desempeño institucional y la eficacia de los recursos y capacidades de los Organismos Garantes</w:t>
      </w:r>
      <w:r w:rsidR="00CB6E10"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0D5101D8" w14:textId="0C457309"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4.1.6-C Línea Transversal de Profesionalización y Fortalecimiento Institucional. </w:t>
      </w:r>
      <w:r w:rsidRPr="00BA784D">
        <w:rPr>
          <w:rFonts w:ascii="Times New Roman" w:eastAsia="Times New Roman" w:hAnsi="Times New Roman" w:cs="Times New Roman"/>
          <w:sz w:val="24"/>
          <w:szCs w:val="24"/>
        </w:rPr>
        <w:t>Desarrollar contenidos, criterios y recomendaciones en materia de rendición de cuentas y combate a la corrupción en su vinculación con la transparencia y el acceso a la información; así como articular sus contenidos con los instrumentos de capacitación del SNT conforme a la línea de acción 2.1.1-C</w:t>
      </w:r>
      <w:r w:rsidR="00CB6E10" w:rsidRPr="00BA784D">
        <w:rPr>
          <w:rFonts w:ascii="Times New Roman" w:eastAsia="Times New Roman" w:hAnsi="Times New Roman" w:cs="Times New Roman"/>
          <w:sz w:val="24"/>
          <w:szCs w:val="24"/>
        </w:rPr>
        <w:t xml:space="preserve"> (INAI, ASF, OGL)</w:t>
      </w:r>
      <w:r w:rsidRPr="00BA784D">
        <w:rPr>
          <w:rFonts w:ascii="Times New Roman" w:eastAsia="Times New Roman" w:hAnsi="Times New Roman" w:cs="Times New Roman"/>
          <w:sz w:val="24"/>
          <w:szCs w:val="24"/>
        </w:rPr>
        <w:t>.</w:t>
      </w:r>
    </w:p>
    <w:p w14:paraId="77C06174" w14:textId="3BAFBDD2"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4.1.7 Identificar políticas públicas en acceso a la información, transparencia y rendición de cuentas en el contexto internacional y su posible implementación en México</w:t>
      </w:r>
      <w:r w:rsidR="00CB6E10" w:rsidRPr="00BA784D">
        <w:rPr>
          <w:rFonts w:ascii="Times New Roman" w:eastAsia="Times New Roman" w:hAnsi="Times New Roman" w:cs="Times New Roman"/>
          <w:sz w:val="24"/>
          <w:szCs w:val="24"/>
        </w:rPr>
        <w:t xml:space="preserve"> (INAI, ASF, OGL)</w:t>
      </w:r>
      <w:r w:rsidRPr="00BA784D">
        <w:rPr>
          <w:rFonts w:ascii="Times New Roman" w:eastAsia="Times New Roman" w:hAnsi="Times New Roman" w:cs="Times New Roman"/>
          <w:sz w:val="24"/>
          <w:szCs w:val="24"/>
        </w:rPr>
        <w:t>.</w:t>
      </w:r>
    </w:p>
    <w:p w14:paraId="2A67A2DE" w14:textId="42572C9A"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4.1.8 Explorar</w:t>
      </w:r>
      <w:r w:rsidR="00131542" w:rsidRPr="00BA784D">
        <w:rPr>
          <w:rFonts w:ascii="Times New Roman" w:eastAsia="Times New Roman" w:hAnsi="Times New Roman" w:cs="Times New Roman"/>
          <w:sz w:val="24"/>
          <w:szCs w:val="24"/>
        </w:rPr>
        <w:t>, y en su caso,</w:t>
      </w:r>
      <w:r w:rsidRPr="00BA784D">
        <w:rPr>
          <w:rFonts w:ascii="Times New Roman" w:eastAsia="Times New Roman" w:hAnsi="Times New Roman" w:cs="Times New Roman"/>
          <w:sz w:val="24"/>
          <w:szCs w:val="24"/>
        </w:rPr>
        <w:t xml:space="preserve"> </w:t>
      </w:r>
      <w:r w:rsidR="00131542" w:rsidRPr="00BA784D">
        <w:rPr>
          <w:rFonts w:ascii="Times New Roman" w:eastAsia="Times New Roman" w:hAnsi="Times New Roman" w:cs="Times New Roman"/>
          <w:sz w:val="24"/>
          <w:szCs w:val="24"/>
        </w:rPr>
        <w:t xml:space="preserve">presentar </w:t>
      </w:r>
      <w:r w:rsidR="00AC0960" w:rsidRPr="00BA784D">
        <w:rPr>
          <w:rFonts w:ascii="Times New Roman" w:eastAsia="Times New Roman" w:hAnsi="Times New Roman" w:cs="Times New Roman"/>
          <w:sz w:val="24"/>
          <w:szCs w:val="24"/>
        </w:rPr>
        <w:t xml:space="preserve">propuestas de </w:t>
      </w:r>
      <w:r w:rsidRPr="00BA784D">
        <w:rPr>
          <w:rFonts w:ascii="Times New Roman" w:eastAsia="Times New Roman" w:hAnsi="Times New Roman" w:cs="Times New Roman"/>
          <w:sz w:val="24"/>
          <w:szCs w:val="24"/>
        </w:rPr>
        <w:t>mecanismos, procedimientos y estrategias de vinculación de la Plataforma Nacional de Transparencia y los sistemas informáticos anticorrupción de la Plataforma Digital Nacional y sus referentes locales, en coordinación con lo establecido en la línea de acción 3.2.4-B</w:t>
      </w:r>
      <w:r w:rsidR="00CB6E10" w:rsidRPr="00BA784D">
        <w:rPr>
          <w:rFonts w:ascii="Times New Roman" w:eastAsia="Times New Roman" w:hAnsi="Times New Roman" w:cs="Times New Roman"/>
          <w:sz w:val="24"/>
          <w:szCs w:val="24"/>
        </w:rPr>
        <w:t xml:space="preserve"> (INAI, ASF, OGL)</w:t>
      </w:r>
      <w:r w:rsidRPr="00BA784D">
        <w:rPr>
          <w:rFonts w:ascii="Times New Roman" w:eastAsia="Times New Roman" w:hAnsi="Times New Roman" w:cs="Times New Roman"/>
          <w:sz w:val="24"/>
          <w:szCs w:val="24"/>
        </w:rPr>
        <w:t>.</w:t>
      </w:r>
    </w:p>
    <w:p w14:paraId="64DFDEB6" w14:textId="1244C1DA"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4.1.9 </w:t>
      </w:r>
      <w:r w:rsidR="00647321" w:rsidRPr="00BA784D">
        <w:rPr>
          <w:rFonts w:ascii="Times New Roman" w:eastAsia="Times New Roman" w:hAnsi="Times New Roman" w:cs="Times New Roman"/>
          <w:sz w:val="24"/>
          <w:szCs w:val="24"/>
        </w:rPr>
        <w:t>Asesorar</w:t>
      </w:r>
      <w:r w:rsidRPr="00BA784D">
        <w:rPr>
          <w:rFonts w:ascii="Times New Roman" w:eastAsia="Times New Roman" w:hAnsi="Times New Roman" w:cs="Times New Roman"/>
          <w:sz w:val="24"/>
          <w:szCs w:val="24"/>
        </w:rPr>
        <w:t xml:space="preserve">, por medio de los mecanismos que mejor convengan a los objetivos del SNT, la aplicación por parte de los Organismos Garantes Locales y Sujetos Obligados de </w:t>
      </w:r>
      <w:r w:rsidRPr="00BA784D">
        <w:rPr>
          <w:rFonts w:ascii="Times New Roman" w:eastAsia="Times New Roman" w:hAnsi="Times New Roman" w:cs="Times New Roman"/>
          <w:sz w:val="24"/>
          <w:szCs w:val="24"/>
        </w:rPr>
        <w:lastRenderedPageBreak/>
        <w:t>lineamientos, guías, políticas, manuales y metodologías establecidas por el SNA y el SNF para mejorar la rendición de cuentas y la lucha anticorrupción</w:t>
      </w:r>
      <w:r w:rsidR="00CB6E10"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7B6FD191" w14:textId="28527535"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4.1.10 </w:t>
      </w:r>
      <w:r w:rsidR="00FC72AA" w:rsidRPr="00BA784D">
        <w:rPr>
          <w:rFonts w:ascii="Times New Roman" w:eastAsia="Times New Roman" w:hAnsi="Times New Roman" w:cs="Times New Roman"/>
          <w:sz w:val="24"/>
          <w:szCs w:val="24"/>
        </w:rPr>
        <w:t xml:space="preserve">Fomentar </w:t>
      </w:r>
      <w:r w:rsidRPr="00BA784D">
        <w:rPr>
          <w:rFonts w:ascii="Times New Roman" w:eastAsia="Times New Roman" w:hAnsi="Times New Roman" w:cs="Times New Roman"/>
          <w:sz w:val="24"/>
          <w:szCs w:val="24"/>
        </w:rPr>
        <w:t>el uso de la Herramienta de Contrataciones Públicas ante la Emergencia, la EDCA-MX: Plataforma de Datos Abiertos para Contrataciones Públicas,  el Estándar de Datos de Contrataciones Abiertas (EDCA), el sistema de Contrataciones Abiertas y Publicidad Abierta del INAI, entre otras herramientas semejantes, con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 xml:space="preserve">s </w:t>
      </w:r>
      <w:r w:rsidR="00EC37B3" w:rsidRPr="00BA784D">
        <w:rPr>
          <w:rFonts w:ascii="Times New Roman" w:eastAsia="Times New Roman" w:hAnsi="Times New Roman" w:cs="Times New Roman"/>
          <w:sz w:val="24"/>
          <w:szCs w:val="24"/>
        </w:rPr>
        <w:t xml:space="preserve">instituciones </w:t>
      </w:r>
      <w:r w:rsidRPr="00BA784D">
        <w:rPr>
          <w:rFonts w:ascii="Times New Roman" w:eastAsia="Times New Roman" w:hAnsi="Times New Roman" w:cs="Times New Roman"/>
          <w:sz w:val="24"/>
          <w:szCs w:val="24"/>
        </w:rPr>
        <w:t>integrantes del SNT y los Sujetos Obligados para generar esquemas de transparencia proactiva, rendición de cuentas y combate a la opacidad en contrataciones públicas, así como mejorar los procesos de diálogo y trabajo interinstitucional</w:t>
      </w:r>
      <w:r w:rsidR="00CB6E10" w:rsidRPr="00BA784D">
        <w:rPr>
          <w:rFonts w:ascii="Times New Roman" w:eastAsia="Times New Roman" w:hAnsi="Times New Roman" w:cs="Times New Roman"/>
          <w:sz w:val="24"/>
          <w:szCs w:val="24"/>
        </w:rPr>
        <w:t xml:space="preserve"> </w:t>
      </w:r>
      <w:r w:rsidR="008C5643" w:rsidRPr="00BA784D">
        <w:rPr>
          <w:rFonts w:ascii="Times New Roman" w:eastAsia="Times New Roman" w:hAnsi="Times New Roman" w:cs="Times New Roman"/>
          <w:sz w:val="24"/>
          <w:szCs w:val="24"/>
        </w:rPr>
        <w:t>(INAI, OGL)</w:t>
      </w:r>
      <w:r w:rsidRPr="00BA784D">
        <w:rPr>
          <w:rFonts w:ascii="Times New Roman" w:eastAsia="Times New Roman" w:hAnsi="Times New Roman" w:cs="Times New Roman"/>
          <w:sz w:val="24"/>
          <w:szCs w:val="24"/>
        </w:rPr>
        <w:t>.</w:t>
      </w:r>
    </w:p>
    <w:p w14:paraId="0BC7A5A2" w14:textId="00DB0EB5"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4.1.11 Identificar y difundir</w:t>
      </w:r>
      <w:r w:rsidR="002950DB" w:rsidRPr="00BA784D">
        <w:rPr>
          <w:rFonts w:ascii="Times New Roman" w:eastAsia="Times New Roman" w:hAnsi="Times New Roman" w:cs="Times New Roman"/>
          <w:sz w:val="24"/>
          <w:szCs w:val="24"/>
        </w:rPr>
        <w:t>, por parte de la Comisión de Rendición de Cuentas y Combate a la Corrupción del SNT,</w:t>
      </w:r>
      <w:r w:rsidRPr="00BA784D">
        <w:rPr>
          <w:rFonts w:ascii="Times New Roman" w:eastAsia="Times New Roman" w:hAnsi="Times New Roman" w:cs="Times New Roman"/>
          <w:sz w:val="24"/>
          <w:szCs w:val="24"/>
        </w:rPr>
        <w:t xml:space="preserve"> las mejores prácticas anticorrupción dentro de la esfera de competencia de cada </w:t>
      </w:r>
      <w:r w:rsidR="008C5643" w:rsidRPr="00BA784D">
        <w:rPr>
          <w:rFonts w:ascii="Times New Roman" w:eastAsia="Times New Roman" w:hAnsi="Times New Roman" w:cs="Times New Roman"/>
          <w:sz w:val="24"/>
          <w:szCs w:val="24"/>
        </w:rPr>
        <w:t xml:space="preserve">institución </w:t>
      </w:r>
      <w:r w:rsidRPr="00BA784D">
        <w:rPr>
          <w:rFonts w:ascii="Times New Roman" w:eastAsia="Times New Roman" w:hAnsi="Times New Roman" w:cs="Times New Roman"/>
          <w:sz w:val="24"/>
          <w:szCs w:val="24"/>
        </w:rPr>
        <w:t>integrante del SNT</w:t>
      </w:r>
      <w:r w:rsidR="002950DB"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 xml:space="preserve"> </w:t>
      </w:r>
      <w:r w:rsidR="008C5643" w:rsidRPr="00BA784D">
        <w:rPr>
          <w:rFonts w:ascii="Times New Roman" w:eastAsia="Times New Roman" w:hAnsi="Times New Roman" w:cs="Times New Roman"/>
          <w:sz w:val="24"/>
          <w:szCs w:val="24"/>
        </w:rPr>
        <w:t>(INAI, AGN, ASF, OGL)</w:t>
      </w:r>
      <w:r w:rsidRPr="00BA784D">
        <w:rPr>
          <w:rFonts w:ascii="Times New Roman" w:eastAsia="Times New Roman" w:hAnsi="Times New Roman" w:cs="Times New Roman"/>
          <w:sz w:val="24"/>
          <w:szCs w:val="24"/>
        </w:rPr>
        <w:t>.</w:t>
      </w:r>
    </w:p>
    <w:p w14:paraId="0529F85E" w14:textId="3D81DE25"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4.1.12-C Línea Transversal de Profesionalización y Fortalecimiento Institucional. </w:t>
      </w:r>
      <w:r w:rsidRPr="00BA784D">
        <w:rPr>
          <w:rFonts w:ascii="Times New Roman" w:eastAsia="Times New Roman" w:hAnsi="Times New Roman" w:cs="Times New Roman"/>
          <w:sz w:val="24"/>
          <w:szCs w:val="24"/>
        </w:rPr>
        <w:t>Incluir dentro del Programa de Capacitación en Transparencia, Acceso a la Información, Protección de Datos Personales, temas relacionados con ética e integridad pública, rendición de cuentas y conflicto de intereses en coordinación con los instrumentos de capacitación del SNT establecidos en la línea de acción 2.1.1-C</w:t>
      </w:r>
      <w:r w:rsidR="008C5643"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3629F0B0" w14:textId="5FF2EA8E" w:rsidR="00E35B30" w:rsidRPr="00BA784D" w:rsidRDefault="0036612A" w:rsidP="00C93171">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4.1.13-A 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 xml:space="preserve">ransversal de Promoción, Difusión y Fomento de la Cultura. </w:t>
      </w:r>
      <w:r w:rsidRPr="00BA784D">
        <w:rPr>
          <w:rFonts w:ascii="Times New Roman" w:eastAsia="Times New Roman" w:hAnsi="Times New Roman" w:cs="Times New Roman"/>
          <w:sz w:val="24"/>
          <w:szCs w:val="24"/>
        </w:rPr>
        <w:t>Generar y difundir, de forma individual por integrante o en colaboración con las comisiones del SNT de Rendición de Cuentas y Combate a la Corrupción y la de Capacitación, Educación y Cultura, los productos y materiales de comunicación existentes en materia de combate a la corrupción en su vinculación con la transparencia y el acceso a la información,</w:t>
      </w:r>
      <w:r w:rsidR="00AD7545"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sz w:val="24"/>
          <w:szCs w:val="24"/>
        </w:rPr>
        <w:t>haciendo dichos materiales ajustables por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 xml:space="preserve">s </w:t>
      </w:r>
      <w:r w:rsidR="00EC37B3" w:rsidRPr="00BA784D">
        <w:rPr>
          <w:rFonts w:ascii="Times New Roman" w:eastAsia="Times New Roman" w:hAnsi="Times New Roman" w:cs="Times New Roman"/>
          <w:sz w:val="24"/>
          <w:szCs w:val="24"/>
        </w:rPr>
        <w:t xml:space="preserve">instituciones </w:t>
      </w:r>
      <w:r w:rsidRPr="00BA784D">
        <w:rPr>
          <w:rFonts w:ascii="Times New Roman" w:eastAsia="Times New Roman" w:hAnsi="Times New Roman" w:cs="Times New Roman"/>
          <w:sz w:val="24"/>
          <w:szCs w:val="24"/>
        </w:rPr>
        <w:t>integrantes del SNT o sus sujetos obligados. Considerar los mecanismos de evaluación a su difusión, conforme a la línea de acción 2.1.7-A</w:t>
      </w:r>
      <w:r w:rsidR="008C5643" w:rsidRPr="00BA784D">
        <w:rPr>
          <w:rFonts w:ascii="Times New Roman" w:eastAsia="Times New Roman" w:hAnsi="Times New Roman" w:cs="Times New Roman"/>
          <w:sz w:val="24"/>
          <w:szCs w:val="24"/>
        </w:rPr>
        <w:t xml:space="preserve"> (INAI, ASF, OGL)</w:t>
      </w:r>
      <w:r w:rsidRPr="00BA784D">
        <w:rPr>
          <w:rFonts w:ascii="Times New Roman" w:eastAsia="Times New Roman" w:hAnsi="Times New Roman" w:cs="Times New Roman"/>
          <w:sz w:val="24"/>
          <w:szCs w:val="24"/>
        </w:rPr>
        <w:t>.</w:t>
      </w:r>
    </w:p>
    <w:p w14:paraId="02034ECE" w14:textId="3AD97452" w:rsidR="00E35B30" w:rsidRPr="00BA784D" w:rsidRDefault="00B41345">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4.</w:t>
      </w:r>
      <w:r w:rsidR="007E0EE9" w:rsidRPr="00BA784D">
        <w:rPr>
          <w:rFonts w:ascii="Times New Roman" w:eastAsia="Times New Roman" w:hAnsi="Times New Roman" w:cs="Times New Roman"/>
          <w:sz w:val="24"/>
          <w:szCs w:val="24"/>
        </w:rPr>
        <w:t>1.14 Implementar mecanismos de revisión entre pares con la finalidad de fortalecer la operación, los programas y el marco normativo en materia anticorrupción</w:t>
      </w:r>
      <w:r w:rsidR="008C5643" w:rsidRPr="00BA784D">
        <w:rPr>
          <w:rFonts w:ascii="Times New Roman" w:eastAsia="Times New Roman" w:hAnsi="Times New Roman" w:cs="Times New Roman"/>
          <w:sz w:val="24"/>
          <w:szCs w:val="24"/>
        </w:rPr>
        <w:t xml:space="preserve"> (OGL)</w:t>
      </w:r>
      <w:r w:rsidR="007E0EE9" w:rsidRPr="00BA784D">
        <w:rPr>
          <w:rFonts w:ascii="Times New Roman" w:eastAsia="Times New Roman" w:hAnsi="Times New Roman" w:cs="Times New Roman"/>
          <w:sz w:val="24"/>
          <w:szCs w:val="24"/>
        </w:rPr>
        <w:t xml:space="preserve">. </w:t>
      </w:r>
    </w:p>
    <w:p w14:paraId="0492FB94" w14:textId="77777777" w:rsidR="00A75300" w:rsidRDefault="00A75300">
      <w:pPr>
        <w:widowControl/>
        <w:spacing w:before="280" w:after="280" w:line="360" w:lineRule="auto"/>
        <w:jc w:val="both"/>
        <w:rPr>
          <w:rFonts w:ascii="Times New Roman" w:eastAsia="Times New Roman" w:hAnsi="Times New Roman" w:cs="Times New Roman"/>
          <w:b/>
          <w:sz w:val="24"/>
          <w:szCs w:val="24"/>
        </w:rPr>
      </w:pPr>
    </w:p>
    <w:p w14:paraId="53F2F785" w14:textId="1C7D0E1C" w:rsidR="00E35B30" w:rsidRPr="00BA784D" w:rsidRDefault="0036612A">
      <w:pPr>
        <w:widowControl/>
        <w:spacing w:before="280" w:after="280" w:line="360" w:lineRule="auto"/>
        <w:jc w:val="both"/>
        <w:rPr>
          <w:rFonts w:ascii="Times New Roman" w:eastAsia="Times New Roman" w:hAnsi="Times New Roman" w:cs="Times New Roman"/>
          <w:b/>
          <w:i/>
          <w:sz w:val="24"/>
          <w:szCs w:val="24"/>
        </w:rPr>
      </w:pPr>
      <w:r w:rsidRPr="00BA784D">
        <w:rPr>
          <w:rFonts w:ascii="Times New Roman" w:eastAsia="Times New Roman" w:hAnsi="Times New Roman" w:cs="Times New Roman"/>
          <w:b/>
          <w:sz w:val="24"/>
          <w:szCs w:val="24"/>
        </w:rPr>
        <w:lastRenderedPageBreak/>
        <w:t>Estrategias:</w:t>
      </w:r>
      <w:r w:rsidRPr="00BA784D">
        <w:rPr>
          <w:rFonts w:ascii="Times New Roman" w:eastAsia="Times New Roman" w:hAnsi="Times New Roman" w:cs="Times New Roman"/>
          <w:sz w:val="24"/>
          <w:szCs w:val="24"/>
        </w:rPr>
        <w:t xml:space="preserve"> </w:t>
      </w:r>
    </w:p>
    <w:p w14:paraId="2B0E9C7C" w14:textId="77777777" w:rsidR="00E35B30" w:rsidRPr="00BA784D" w:rsidRDefault="0036612A">
      <w:pPr>
        <w:widowControl/>
        <w:numPr>
          <w:ilvl w:val="0"/>
          <w:numId w:val="20"/>
        </w:numPr>
        <w:spacing w:before="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Socialización: </w:t>
      </w:r>
      <w:r w:rsidRPr="00BA784D">
        <w:rPr>
          <w:rFonts w:ascii="Times New Roman" w:eastAsia="Times New Roman" w:hAnsi="Times New Roman" w:cs="Times New Roman"/>
          <w:sz w:val="24"/>
          <w:szCs w:val="24"/>
        </w:rPr>
        <w:t xml:space="preserve">Establecimiento de alianzas, convenios e iniciativas con instituciones, organizaciones y personas. </w:t>
      </w:r>
    </w:p>
    <w:p w14:paraId="6A96127E"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Coordinación:</w:t>
      </w:r>
      <w:r w:rsidRPr="00BA784D">
        <w:rPr>
          <w:rFonts w:ascii="Times New Roman" w:eastAsia="Times New Roman" w:hAnsi="Times New Roman" w:cs="Times New Roman"/>
          <w:sz w:val="24"/>
          <w:szCs w:val="24"/>
        </w:rPr>
        <w:t xml:space="preserve"> Vinculación con instancias y Comisiones del SNT, el SNA y el SNF.</w:t>
      </w:r>
    </w:p>
    <w:p w14:paraId="1A5056A0"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Capacitación: </w:t>
      </w:r>
      <w:r w:rsidRPr="00BA784D">
        <w:rPr>
          <w:rFonts w:ascii="Times New Roman" w:eastAsia="Times New Roman" w:hAnsi="Times New Roman" w:cs="Times New Roman"/>
          <w:sz w:val="24"/>
          <w:szCs w:val="24"/>
        </w:rPr>
        <w:t xml:space="preserve">Instrumentos del SNT establecidos en la línea de acción 2.1.1-C. </w:t>
      </w:r>
    </w:p>
    <w:p w14:paraId="1717EC5A" w14:textId="71A43DAD" w:rsidR="00E35B30" w:rsidRPr="00BA784D" w:rsidRDefault="0036612A">
      <w:pPr>
        <w:widowControl/>
        <w:numPr>
          <w:ilvl w:val="0"/>
          <w:numId w:val="20"/>
        </w:numPr>
        <w:spacing w:line="360" w:lineRule="auto"/>
        <w:ind w:right="51"/>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PNT y TIC</w:t>
      </w:r>
      <w:r w:rsidR="00FD4F8F">
        <w:rPr>
          <w:rFonts w:ascii="Times New Roman" w:eastAsia="Times New Roman" w:hAnsi="Times New Roman" w:cs="Times New Roman"/>
          <w:b/>
          <w:sz w:val="24"/>
          <w:szCs w:val="24"/>
        </w:rPr>
        <w:t>’</w:t>
      </w:r>
      <w:r w:rsidRPr="00BA784D">
        <w:rPr>
          <w:rFonts w:ascii="Times New Roman" w:eastAsia="Times New Roman" w:hAnsi="Times New Roman" w:cs="Times New Roman"/>
          <w:b/>
          <w:sz w:val="24"/>
          <w:szCs w:val="24"/>
        </w:rPr>
        <w:t>s:</w:t>
      </w:r>
      <w:r w:rsidRPr="00BA784D">
        <w:rPr>
          <w:rFonts w:ascii="Times New Roman" w:eastAsia="Times New Roman" w:hAnsi="Times New Roman" w:cs="Times New Roman"/>
          <w:sz w:val="24"/>
          <w:szCs w:val="24"/>
        </w:rPr>
        <w:t xml:space="preserve"> Desarrollo de la vinculación entre PNT y PND.</w:t>
      </w:r>
    </w:p>
    <w:p w14:paraId="0BD30354"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Comunicación: </w:t>
      </w:r>
      <w:r w:rsidRPr="00BA784D">
        <w:rPr>
          <w:rFonts w:ascii="Times New Roman" w:eastAsia="Times New Roman" w:hAnsi="Times New Roman" w:cs="Times New Roman"/>
          <w:sz w:val="24"/>
          <w:szCs w:val="24"/>
        </w:rPr>
        <w:t>Acciones coordinadas y evaluadas a nivel nacional y ajustables localmente a las necesidades de Organismos Garantes y Sujetos Obligados.</w:t>
      </w:r>
    </w:p>
    <w:p w14:paraId="39335DB2" w14:textId="2896D035"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Indicador de Resultado: </w:t>
      </w:r>
      <w:r w:rsidRPr="00BA784D">
        <w:rPr>
          <w:rFonts w:ascii="Times New Roman" w:eastAsia="Times New Roman" w:hAnsi="Times New Roman" w:cs="Times New Roman"/>
          <w:sz w:val="24"/>
          <w:szCs w:val="24"/>
        </w:rPr>
        <w:t>Índice de fortalecimiento anticorrupción institucional en</w:t>
      </w:r>
      <w:r w:rsidR="002416C9" w:rsidRPr="00BA784D">
        <w:rPr>
          <w:rFonts w:ascii="Times New Roman" w:eastAsia="Times New Roman" w:hAnsi="Times New Roman" w:cs="Times New Roman"/>
          <w:sz w:val="24"/>
          <w:szCs w:val="24"/>
        </w:rPr>
        <w:t xml:space="preserve"> los</w:t>
      </w:r>
      <w:r w:rsidRPr="00BA784D">
        <w:rPr>
          <w:rFonts w:ascii="Times New Roman" w:eastAsia="Times New Roman" w:hAnsi="Times New Roman" w:cs="Times New Roman"/>
          <w:sz w:val="24"/>
          <w:szCs w:val="24"/>
        </w:rPr>
        <w:t xml:space="preserve"> O</w:t>
      </w:r>
      <w:r w:rsidR="002416C9" w:rsidRPr="00BA784D">
        <w:rPr>
          <w:rFonts w:ascii="Times New Roman" w:eastAsia="Times New Roman" w:hAnsi="Times New Roman" w:cs="Times New Roman"/>
          <w:sz w:val="24"/>
          <w:szCs w:val="24"/>
        </w:rPr>
        <w:t xml:space="preserve">rganismos </w:t>
      </w:r>
      <w:r w:rsidRPr="00BA784D">
        <w:rPr>
          <w:rFonts w:ascii="Times New Roman" w:eastAsia="Times New Roman" w:hAnsi="Times New Roman" w:cs="Times New Roman"/>
          <w:sz w:val="24"/>
          <w:szCs w:val="24"/>
        </w:rPr>
        <w:t>G</w:t>
      </w:r>
      <w:r w:rsidR="002416C9" w:rsidRPr="00BA784D">
        <w:rPr>
          <w:rFonts w:ascii="Times New Roman" w:eastAsia="Times New Roman" w:hAnsi="Times New Roman" w:cs="Times New Roman"/>
          <w:sz w:val="24"/>
          <w:szCs w:val="24"/>
        </w:rPr>
        <w:t>arantes</w:t>
      </w:r>
    </w:p>
    <w:p w14:paraId="029E47A4" w14:textId="7B089E20"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Línea Base:</w:t>
      </w:r>
      <w:r w:rsidRPr="00BA784D">
        <w:rPr>
          <w:rFonts w:ascii="Times New Roman" w:eastAsia="Times New Roman" w:hAnsi="Times New Roman" w:cs="Times New Roman"/>
          <w:sz w:val="24"/>
          <w:szCs w:val="24"/>
        </w:rPr>
        <w:t xml:space="preserve"> </w:t>
      </w:r>
      <w:r w:rsidR="00944A8C" w:rsidRPr="00BA784D">
        <w:rPr>
          <w:rFonts w:ascii="Times New Roman" w:eastAsia="Times New Roman" w:hAnsi="Times New Roman" w:cs="Times New Roman"/>
          <w:sz w:val="24"/>
          <w:szCs w:val="24"/>
        </w:rPr>
        <w:t>39.39</w:t>
      </w:r>
      <w:r w:rsidRPr="00BA784D">
        <w:rPr>
          <w:rFonts w:ascii="Times New Roman" w:eastAsia="Times New Roman" w:hAnsi="Times New Roman" w:cs="Times New Roman"/>
          <w:sz w:val="24"/>
          <w:szCs w:val="24"/>
        </w:rPr>
        <w:t>%, CNTAI</w:t>
      </w:r>
      <w:r w:rsidR="000A0337" w:rsidRPr="00BA784D">
        <w:rPr>
          <w:rFonts w:ascii="Times New Roman" w:eastAsia="Times New Roman" w:hAnsi="Times New Roman" w:cs="Times New Roman"/>
          <w:sz w:val="24"/>
          <w:szCs w:val="24"/>
        </w:rPr>
        <w:t>PPDPF y CNTAIPPDPE</w:t>
      </w:r>
      <w:r w:rsidRPr="00BA784D">
        <w:rPr>
          <w:rFonts w:ascii="Times New Roman" w:eastAsia="Times New Roman" w:hAnsi="Times New Roman" w:cs="Times New Roman"/>
          <w:sz w:val="24"/>
          <w:szCs w:val="24"/>
        </w:rPr>
        <w:t xml:space="preserve"> 2020</w:t>
      </w:r>
    </w:p>
    <w:p w14:paraId="0D2F071E" w14:textId="77777777"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Medir la cobertura en el fortalecimiento institucional de los Organismos Garantes para el combate a la corrupción en términos de planeación y desarrollo de capacidades a partir de dos componentes: 1) con la proporción de Organismos Garantes que reportaron contar o estar en proceso de integración de un plan o programa anticorrupción; y por otro lado 2) la proporción de Organismos Garantes que reportaron haber realizado al menos una acción de capacitación sobre prevención, detección, control, sanción, disuasión y combate a la corrupción. Se incluyen 6 tipos de acciones de capacitación: diplomado, curso, taller, conferencia, seminario u otra.</w:t>
      </w:r>
    </w:p>
    <w:p w14:paraId="6030C7A4" w14:textId="77777777" w:rsidR="00E35B30" w:rsidRPr="00BA784D" w:rsidRDefault="0036612A">
      <w:pPr>
        <w:spacing w:line="360" w:lineRule="auto"/>
        <w:jc w:val="both"/>
        <w:rPr>
          <w:rFonts w:ascii="Times New Roman" w:eastAsia="Times New Roman" w:hAnsi="Times New Roman" w:cs="Times New Roman"/>
          <w:color w:val="C00000"/>
          <w:sz w:val="24"/>
          <w:szCs w:val="24"/>
        </w:rPr>
      </w:pPr>
      <w:r w:rsidRPr="00BA784D">
        <w:rPr>
          <w:rFonts w:ascii="Times New Roman" w:eastAsia="Times New Roman" w:hAnsi="Times New Roman" w:cs="Times New Roman"/>
          <w:b/>
          <w:sz w:val="24"/>
          <w:szCs w:val="24"/>
        </w:rPr>
        <w:t>NOTA DE CAUCIÓN: Tras la implementación de acciones y prioridades de la Política Nacional Anticorrupción se sugiere incluir un componente al indicador que permitan dar seguimiento a la participación de los Organismos Garantes en dichas iniciativas.</w:t>
      </w:r>
    </w:p>
    <w:p w14:paraId="4A67C2D3" w14:textId="77777777" w:rsidR="00E35B30" w:rsidRPr="00BA784D" w:rsidRDefault="00E35B30">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color w:val="C00000"/>
          <w:sz w:val="24"/>
          <w:szCs w:val="24"/>
        </w:rPr>
      </w:pPr>
    </w:p>
    <w:p w14:paraId="09A9E48F" w14:textId="77777777" w:rsidR="00E35B30" w:rsidRPr="00BA784D" w:rsidRDefault="00E35B30">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p>
    <w:p w14:paraId="55B1F580" w14:textId="77777777" w:rsidR="00E35B30" w:rsidRPr="00BA784D" w:rsidRDefault="0036612A">
      <w:pPr>
        <w:pStyle w:val="Ttulo2"/>
        <w:spacing w:line="360" w:lineRule="auto"/>
        <w:ind w:left="0"/>
        <w:rPr>
          <w:sz w:val="24"/>
          <w:szCs w:val="24"/>
        </w:rPr>
      </w:pPr>
      <w:bookmarkStart w:id="31" w:name="_heading=h.32hioqz" w:colFirst="0" w:colLast="0"/>
      <w:bookmarkEnd w:id="31"/>
      <w:r w:rsidRPr="00BA784D">
        <w:br w:type="page"/>
      </w:r>
    </w:p>
    <w:p w14:paraId="27240824" w14:textId="77777777" w:rsidR="00E35B30" w:rsidRPr="00BA784D" w:rsidRDefault="0036612A">
      <w:pPr>
        <w:pStyle w:val="Ttulo2"/>
        <w:spacing w:line="360" w:lineRule="auto"/>
        <w:ind w:left="0"/>
        <w:rPr>
          <w:sz w:val="24"/>
          <w:szCs w:val="24"/>
        </w:rPr>
      </w:pPr>
      <w:bookmarkStart w:id="32" w:name="_Toc102051235"/>
      <w:r w:rsidRPr="00BA784D">
        <w:rPr>
          <w:sz w:val="24"/>
          <w:szCs w:val="24"/>
        </w:rPr>
        <w:lastRenderedPageBreak/>
        <w:t>Eje 5. Actividad Materialmente Jurisdiccional de los Organismos Garantes</w:t>
      </w:r>
      <w:bookmarkEnd w:id="32"/>
    </w:p>
    <w:p w14:paraId="2C592259" w14:textId="77777777"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Síntesis de la problemática identificada en el diagnóstico:</w:t>
      </w:r>
      <w:r w:rsidRPr="00BA784D">
        <w:rPr>
          <w:rFonts w:ascii="Times New Roman" w:eastAsia="Times New Roman" w:hAnsi="Times New Roman" w:cs="Times New Roman"/>
          <w:sz w:val="24"/>
          <w:szCs w:val="24"/>
        </w:rPr>
        <w:t xml:space="preserve"> El principal reto detectado en diagnóstico del Programa Institucional 2021-2024 se concentra en </w:t>
      </w:r>
      <w:r w:rsidRPr="00BA784D">
        <w:rPr>
          <w:rFonts w:ascii="Times New Roman" w:eastAsia="Times New Roman" w:hAnsi="Times New Roman" w:cs="Times New Roman"/>
          <w:i/>
          <w:sz w:val="24"/>
          <w:szCs w:val="24"/>
        </w:rPr>
        <w:t>desarrollar estrategias efectivas que permitan atender el incremento de la interposición de medios de impugnación, de forma paralela al que se fortalece la accesibilidad, entendimiento y la protección de los derechos en los contenidos de dichas resoluciones</w:t>
      </w:r>
      <w:r w:rsidRPr="00BA784D">
        <w:rPr>
          <w:rFonts w:ascii="Times New Roman" w:eastAsia="Times New Roman" w:hAnsi="Times New Roman" w:cs="Times New Roman"/>
          <w:sz w:val="24"/>
          <w:szCs w:val="24"/>
        </w:rPr>
        <w:t xml:space="preserve">. </w:t>
      </w:r>
    </w:p>
    <w:p w14:paraId="72877EEE"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Este último aspecto, conforme a los datos de la Evaluación Nacional de los Organismos Garantes del Derecho a la Información 2018 (ENOGDAI 2018) realizada por Artículo 19</w:t>
      </w:r>
      <w:r w:rsidRPr="00BA784D">
        <w:rPr>
          <w:rFonts w:ascii="Times New Roman" w:eastAsia="Times New Roman" w:hAnsi="Times New Roman" w:cs="Times New Roman"/>
          <w:sz w:val="24"/>
          <w:szCs w:val="24"/>
          <w:vertAlign w:val="superscript"/>
        </w:rPr>
        <w:footnoteReference w:id="19"/>
      </w:r>
      <w:r w:rsidRPr="00BA784D">
        <w:rPr>
          <w:rFonts w:ascii="Times New Roman" w:eastAsia="Times New Roman" w:hAnsi="Times New Roman" w:cs="Times New Roman"/>
          <w:sz w:val="24"/>
          <w:szCs w:val="24"/>
        </w:rPr>
        <w:t xml:space="preserve">, se sabe que: 17 organismos aplicaron suplencia de la queja en 221 impugnaciones; 6 (Durango, Estado de México, Nuevo León, Puebla, Veracruz y Zacatecas) mencionaron haber invocado el principio </w:t>
      </w:r>
      <w:r w:rsidRPr="00BA784D">
        <w:rPr>
          <w:rFonts w:ascii="Times New Roman" w:eastAsia="Times New Roman" w:hAnsi="Times New Roman" w:cs="Times New Roman"/>
          <w:i/>
          <w:sz w:val="24"/>
          <w:szCs w:val="24"/>
        </w:rPr>
        <w:t xml:space="preserve">pro persona </w:t>
      </w:r>
      <w:r w:rsidRPr="00BA784D">
        <w:rPr>
          <w:rFonts w:ascii="Times New Roman" w:eastAsia="Times New Roman" w:hAnsi="Times New Roman" w:cs="Times New Roman"/>
          <w:sz w:val="24"/>
          <w:szCs w:val="24"/>
        </w:rPr>
        <w:t xml:space="preserve">en sus resoluciones a recursos de revisión; y solo Nuevo León, Estado de México y Zacatecas indicaron haber ejercido el control de convencionalidad </w:t>
      </w:r>
      <w:r w:rsidRPr="00BA784D">
        <w:rPr>
          <w:rFonts w:ascii="Times New Roman" w:eastAsia="Times New Roman" w:hAnsi="Times New Roman" w:cs="Times New Roman"/>
          <w:i/>
          <w:sz w:val="24"/>
          <w:szCs w:val="24"/>
        </w:rPr>
        <w:t>ex oficio</w:t>
      </w:r>
      <w:r w:rsidRPr="00BA784D">
        <w:rPr>
          <w:rFonts w:ascii="Times New Roman" w:eastAsia="Times New Roman" w:hAnsi="Times New Roman" w:cs="Times New Roman"/>
          <w:sz w:val="24"/>
          <w:szCs w:val="24"/>
        </w:rPr>
        <w:t xml:space="preserve"> en alguna de sus resoluciones a recursos de revisión.</w:t>
      </w:r>
    </w:p>
    <w:p w14:paraId="531D5F0E"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Por otro lado, de acuerdo con lo registrado por el Censo 2021, se recibieron 63,184 recursos de revisión en el ámbito federal, estatal y municipal respecto a los 92,985 del Censo 2020, de los cuales 49,285 se resolvieron y 1,689 se encontraban pendientes de concluir para 2021, respecto a los 77,338 resueltos y 15,053 pendientes de concluir de 2020. Con base en el estatus de los recursos de revisión recibidos, las proporciones respecto los admitidos, desechados y en análisis se mantuvieron; destacando un incremento en los desechamientos de 19.2% en 2020 y 21.5% en 2021.</w:t>
      </w:r>
      <w:r w:rsidRPr="00BA784D">
        <w:rPr>
          <w:rFonts w:ascii="Times New Roman" w:eastAsia="Times New Roman" w:hAnsi="Times New Roman" w:cs="Times New Roman"/>
          <w:sz w:val="24"/>
          <w:szCs w:val="24"/>
          <w:vertAlign w:val="superscript"/>
        </w:rPr>
        <w:footnoteReference w:id="20"/>
      </w:r>
      <w:r w:rsidRPr="00BA784D">
        <w:rPr>
          <w:rFonts w:ascii="Times New Roman" w:eastAsia="Times New Roman" w:hAnsi="Times New Roman" w:cs="Times New Roman"/>
          <w:sz w:val="24"/>
          <w:szCs w:val="24"/>
        </w:rPr>
        <w:t xml:space="preserve"> </w:t>
      </w:r>
    </w:p>
    <w:p w14:paraId="28D479D3" w14:textId="77777777" w:rsidR="00E35B30" w:rsidRPr="00BA784D" w:rsidRDefault="00E35B30">
      <w:pPr>
        <w:spacing w:line="360" w:lineRule="auto"/>
        <w:jc w:val="both"/>
        <w:rPr>
          <w:rFonts w:ascii="Times New Roman" w:eastAsia="Times New Roman" w:hAnsi="Times New Roman" w:cs="Times New Roman"/>
          <w:sz w:val="24"/>
          <w:szCs w:val="24"/>
        </w:rPr>
      </w:pPr>
    </w:p>
    <w:p w14:paraId="7A52500B" w14:textId="77777777" w:rsidR="00E35B30" w:rsidRPr="00BA784D" w:rsidRDefault="0036612A">
      <w:pPr>
        <w:spacing w:line="360" w:lineRule="auto"/>
        <w:jc w:val="both"/>
        <w:rPr>
          <w:rFonts w:ascii="Times New Roman" w:eastAsia="Times New Roman" w:hAnsi="Times New Roman" w:cs="Times New Roman"/>
          <w:b/>
          <w:i/>
          <w:sz w:val="24"/>
          <w:szCs w:val="24"/>
        </w:rPr>
      </w:pPr>
      <w:r w:rsidRPr="00BA784D">
        <w:rPr>
          <w:rFonts w:ascii="Times New Roman" w:eastAsia="Times New Roman" w:hAnsi="Times New Roman" w:cs="Times New Roman"/>
          <w:b/>
          <w:i/>
          <w:sz w:val="24"/>
          <w:szCs w:val="24"/>
        </w:rPr>
        <w:t>Objetivo Estratégico 5.1 Optimizar los procesos para la tutela del Derecho de Acceso a la Información desde una perspectiva de mejora continua en los Organismos Garantes y los Sujetos Obligados.</w:t>
      </w:r>
    </w:p>
    <w:p w14:paraId="01994653" w14:textId="77777777" w:rsidR="00A75300" w:rsidRDefault="00A75300">
      <w:pPr>
        <w:widowControl/>
        <w:spacing w:before="280" w:after="280" w:line="360" w:lineRule="auto"/>
        <w:jc w:val="both"/>
        <w:rPr>
          <w:rFonts w:ascii="Times New Roman" w:eastAsia="Times New Roman" w:hAnsi="Times New Roman" w:cs="Times New Roman"/>
          <w:b/>
          <w:sz w:val="24"/>
          <w:szCs w:val="24"/>
        </w:rPr>
      </w:pPr>
    </w:p>
    <w:p w14:paraId="42D59F45" w14:textId="15CA011C" w:rsidR="00E35B30" w:rsidRPr="00BA784D" w:rsidRDefault="0036612A">
      <w:pPr>
        <w:widowControl/>
        <w:spacing w:before="280" w:after="280" w:line="360" w:lineRule="auto"/>
        <w:jc w:val="both"/>
        <w:rPr>
          <w:rFonts w:ascii="Times New Roman" w:eastAsia="Times New Roman" w:hAnsi="Times New Roman" w:cs="Times New Roman"/>
          <w:b/>
          <w:i/>
          <w:sz w:val="24"/>
          <w:szCs w:val="24"/>
        </w:rPr>
      </w:pPr>
      <w:r w:rsidRPr="00BA784D">
        <w:rPr>
          <w:rFonts w:ascii="Times New Roman" w:eastAsia="Times New Roman" w:hAnsi="Times New Roman" w:cs="Times New Roman"/>
          <w:b/>
          <w:sz w:val="24"/>
          <w:szCs w:val="24"/>
        </w:rPr>
        <w:lastRenderedPageBreak/>
        <w:t>Líneas de acción:</w:t>
      </w:r>
    </w:p>
    <w:p w14:paraId="184BFBDA" w14:textId="091B4E98"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5.1.1-B Línea Transversal DDHH, Enfoque de Género e Inclusión Social. </w:t>
      </w:r>
      <w:r w:rsidRPr="00BA784D">
        <w:rPr>
          <w:rFonts w:ascii="Times New Roman" w:eastAsia="Times New Roman" w:hAnsi="Times New Roman" w:cs="Times New Roman"/>
          <w:sz w:val="24"/>
          <w:szCs w:val="24"/>
        </w:rPr>
        <w:t xml:space="preserve">Promover la eficacia en la resolución de medios de impugnación respetando los derechos procesales, principio </w:t>
      </w:r>
      <w:r w:rsidRPr="00BA784D">
        <w:rPr>
          <w:rFonts w:ascii="Times New Roman" w:eastAsia="Times New Roman" w:hAnsi="Times New Roman" w:cs="Times New Roman"/>
          <w:i/>
          <w:sz w:val="24"/>
          <w:szCs w:val="24"/>
        </w:rPr>
        <w:t>pro-persona</w:t>
      </w:r>
      <w:r w:rsidRPr="00BA784D">
        <w:rPr>
          <w:rFonts w:ascii="Times New Roman" w:eastAsia="Times New Roman" w:hAnsi="Times New Roman" w:cs="Times New Roman"/>
          <w:sz w:val="24"/>
          <w:szCs w:val="24"/>
        </w:rPr>
        <w:t>, la suplencia de la queja y la aplicación del control de convencionalidad con el desarrollo de metodologías y protocolos para su atención.</w:t>
      </w:r>
      <w:r w:rsidR="00226359" w:rsidRPr="00BA784D">
        <w:rPr>
          <w:rFonts w:ascii="Times New Roman" w:eastAsia="Times New Roman" w:hAnsi="Times New Roman" w:cs="Times New Roman"/>
          <w:sz w:val="24"/>
          <w:szCs w:val="24"/>
        </w:rPr>
        <w:t xml:space="preserve"> De igual manera transversalizar la perspectiva de género en las resoluciones emitidas por los órganos garantes, así como su identificación</w:t>
      </w:r>
      <w:r w:rsidR="008C5643" w:rsidRPr="00BA784D">
        <w:rPr>
          <w:rFonts w:ascii="Times New Roman" w:eastAsia="Times New Roman" w:hAnsi="Times New Roman" w:cs="Times New Roman"/>
          <w:sz w:val="24"/>
          <w:szCs w:val="24"/>
        </w:rPr>
        <w:t xml:space="preserve"> (INAI, OGL)</w:t>
      </w:r>
      <w:r w:rsidR="00226359" w:rsidRPr="00BA784D">
        <w:rPr>
          <w:rFonts w:ascii="Times New Roman" w:eastAsia="Times New Roman" w:hAnsi="Times New Roman" w:cs="Times New Roman"/>
          <w:color w:val="FF0000"/>
          <w:sz w:val="24"/>
          <w:szCs w:val="24"/>
        </w:rPr>
        <w:t>.</w:t>
      </w:r>
    </w:p>
    <w:p w14:paraId="36098F3F" w14:textId="3F80BCE4"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5.1.2-B Línea Transversal DDHH, Enfoque de Género e Inclusión Social. </w:t>
      </w:r>
      <w:r w:rsidRPr="00BA784D">
        <w:rPr>
          <w:rFonts w:ascii="Times New Roman" w:eastAsia="Times New Roman" w:hAnsi="Times New Roman" w:cs="Times New Roman"/>
          <w:sz w:val="24"/>
          <w:szCs w:val="24"/>
        </w:rPr>
        <w:t>Impulsar el lenguaje ciudadano, lectura fácil y mecanismos de inclusión en las resoluciones a las personas promoventes</w:t>
      </w:r>
      <w:r w:rsidR="008C5643"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27C92E71" w14:textId="53D1E5E3"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5.1.3-B Línea Transversal DDHH, Enfoque de Género e Inclusión Social.</w:t>
      </w:r>
      <w:r w:rsidRPr="00BA784D">
        <w:rPr>
          <w:rFonts w:ascii="Times New Roman" w:eastAsia="Times New Roman" w:hAnsi="Times New Roman" w:cs="Times New Roman"/>
          <w:sz w:val="24"/>
          <w:szCs w:val="24"/>
        </w:rPr>
        <w:t xml:space="preserve"> Promover el diseño de protocolos de atención con enfoque de Derechos Humanos, Perspectiva de Género e Inclusión Social</w:t>
      </w:r>
      <w:r w:rsidR="008C5643"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6C07749F" w14:textId="14A725D7"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5.1.4 Homologar y socializar entre los Organismos Garantes, los criterios para la interpretación y tratamiento de las solicitudes de acceso a la información; así como, de los medios de impugnación que de ellos deriven para mejorar el ejercicio y garantía del DAI, en especial aquellos relacionados con el impulso a la interpretación conforme, el principio </w:t>
      </w:r>
      <w:r w:rsidRPr="00BA784D">
        <w:rPr>
          <w:rFonts w:ascii="Times New Roman" w:eastAsia="Times New Roman" w:hAnsi="Times New Roman" w:cs="Times New Roman"/>
          <w:i/>
          <w:sz w:val="24"/>
          <w:szCs w:val="24"/>
        </w:rPr>
        <w:t xml:space="preserve">pro persona </w:t>
      </w:r>
      <w:r w:rsidRPr="00BA784D">
        <w:rPr>
          <w:rFonts w:ascii="Times New Roman" w:eastAsia="Times New Roman" w:hAnsi="Times New Roman" w:cs="Times New Roman"/>
          <w:sz w:val="24"/>
          <w:szCs w:val="24"/>
        </w:rPr>
        <w:t>y la suplencia de la queja en la admisión, sustanciación y resolución de los recursos de revisión, así como con el desechamiento y sobreseimiento de los mismos</w:t>
      </w:r>
      <w:r w:rsidR="008C5643"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7511F437" w14:textId="77777777"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b/>
        <w:t>Las acciones derivadas de esta línea implican reuniones de trabajo de discusión en las instancias del SNT con rumbo a una consolidación y modificación al marco normativo en materia de criterios de interpretación aplicables a los Organismos Garantes.</w:t>
      </w:r>
    </w:p>
    <w:p w14:paraId="4CD2D6F1" w14:textId="73A7FFBA"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5.1.5-C Línea Transversal de Profesionalización y Fortalecimiento Institucional. </w:t>
      </w:r>
      <w:r w:rsidRPr="00BA784D">
        <w:rPr>
          <w:rFonts w:ascii="Times New Roman" w:eastAsia="Times New Roman" w:hAnsi="Times New Roman" w:cs="Times New Roman"/>
          <w:sz w:val="24"/>
          <w:szCs w:val="24"/>
        </w:rPr>
        <w:t>Fortalecer el uso de metodologías y diseñar herramientas para simplificar y coordinar el proceso interno de gestión de solicitudes de acceso a la información entre las unidades administrativas, el Comité de Transparencia y la Unidad de Transparencia de los sujetos obligados</w:t>
      </w:r>
      <w:r w:rsidR="008C5643"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4F8CCA38" w14:textId="4234CF3D"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5.1.6-C Línea Transversal de Profesionalización y Fortalecimiento Institucional.</w:t>
      </w:r>
      <w:r w:rsidRPr="00BA784D">
        <w:rPr>
          <w:rFonts w:ascii="Times New Roman" w:eastAsia="Times New Roman" w:hAnsi="Times New Roman" w:cs="Times New Roman"/>
          <w:sz w:val="24"/>
          <w:szCs w:val="24"/>
        </w:rPr>
        <w:t xml:space="preserve"> Incluir, en las actividades desarrolladas de la línea 2.1.8-C, temáticas de la actividad </w:t>
      </w:r>
      <w:r w:rsidRPr="00BA784D">
        <w:rPr>
          <w:rFonts w:ascii="Times New Roman" w:eastAsia="Times New Roman" w:hAnsi="Times New Roman" w:cs="Times New Roman"/>
          <w:sz w:val="24"/>
          <w:szCs w:val="24"/>
        </w:rPr>
        <w:lastRenderedPageBreak/>
        <w:t>materialmente jurisdiccional a fin de promover la profesionalización de las personas funcionarios de Organismos Garantes y responsables</w:t>
      </w:r>
      <w:r w:rsidR="008C5643"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6736AB0C" w14:textId="762C0D3E"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5.1.7-C Línea Transversal de Profesionalización y Fortalecimiento Institucional.</w:t>
      </w:r>
      <w:r w:rsidRPr="00BA784D">
        <w:rPr>
          <w:rFonts w:ascii="Times New Roman" w:eastAsia="Times New Roman" w:hAnsi="Times New Roman" w:cs="Times New Roman"/>
          <w:sz w:val="24"/>
          <w:szCs w:val="24"/>
        </w:rPr>
        <w:t xml:space="preserve"> Difundir contenidos respecto de la actividad materialmente jurisdiccional de los Organismos Garantes en los instrumentos de capacitación del SNT (como el PCCAN y el CVFAIP) establecidos en la línea de acción 2.1.1-C</w:t>
      </w:r>
      <w:r w:rsidR="008C5643"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374CC9FF" w14:textId="253B237D"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5.1.8-C Línea Transversal de Profesionalización y Fortalecimiento Institucional:</w:t>
      </w:r>
      <w:r w:rsidRPr="00BA784D">
        <w:rPr>
          <w:rFonts w:ascii="Times New Roman" w:eastAsia="Times New Roman" w:hAnsi="Times New Roman" w:cs="Times New Roman"/>
          <w:sz w:val="24"/>
          <w:szCs w:val="24"/>
        </w:rPr>
        <w:t xml:space="preserve"> Considerar en el modelo de planeación y seguimiento de resultados institucionales de los Organismos Garantes, planteado en la línea de acción 2.1.10-C, indicadores y herramientas para valorar su desempeño en su actividad materialmente jurisdiccional</w:t>
      </w:r>
      <w:r w:rsidR="008C5643"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17EDFEED" w14:textId="6B637874"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5.1.9-A 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ransversal de Promoción, Difusión y Fomento de la Cultura:</w:t>
      </w:r>
      <w:r w:rsidRPr="00BA784D">
        <w:rPr>
          <w:rFonts w:ascii="Times New Roman" w:eastAsia="Times New Roman" w:hAnsi="Times New Roman" w:cs="Times New Roman"/>
          <w:sz w:val="24"/>
          <w:szCs w:val="24"/>
        </w:rPr>
        <w:t xml:space="preserve"> Identificar y divulgar resoluciones a recursos de revisión y su cumplimiento, solicitudes de información y sus respuestas, acciones de inconstitucionalidad o controversias constitucionales (tanto demandas como resoluciones) socialmente relevantes y su cumplimiento como prueba de la efectividad del DAI</w:t>
      </w:r>
      <w:r w:rsidR="008C5643"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205981EC" w14:textId="3CAF1E57"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5.1.10-A 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 xml:space="preserve">ransversal de Promoción, Difusión y Fomento de la Cultura. </w:t>
      </w:r>
      <w:r w:rsidRPr="00BA784D">
        <w:rPr>
          <w:rFonts w:ascii="Times New Roman" w:eastAsia="Times New Roman" w:hAnsi="Times New Roman" w:cs="Times New Roman"/>
          <w:sz w:val="24"/>
          <w:szCs w:val="24"/>
        </w:rPr>
        <w:t>Generar y difundir, de forma individual por integrante o en colaboración con las comisiones del SNT correspondientes</w:t>
      </w:r>
      <w:r w:rsidRPr="00BA784D">
        <w:rPr>
          <w:rFonts w:ascii="Times New Roman" w:eastAsia="Times New Roman" w:hAnsi="Times New Roman" w:cs="Times New Roman"/>
          <w:sz w:val="24"/>
          <w:szCs w:val="24"/>
          <w:vertAlign w:val="superscript"/>
        </w:rPr>
        <w:footnoteReference w:id="21"/>
      </w:r>
      <w:r w:rsidRPr="00BA784D">
        <w:rPr>
          <w:rFonts w:ascii="Times New Roman" w:eastAsia="Times New Roman" w:hAnsi="Times New Roman" w:cs="Times New Roman"/>
          <w:sz w:val="24"/>
          <w:szCs w:val="24"/>
        </w:rPr>
        <w:t>, productos y materiales de comunicación, que incorporen los principios de igualdad y no discriminación, sobre las resoluciones de los recursos de revisión socialmente relevantes y su cumplimiento, ajustables por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o sus sujetos obligados y considerando mecanismos </w:t>
      </w:r>
      <w:r w:rsidR="00602130" w:rsidRPr="00BA784D">
        <w:rPr>
          <w:rFonts w:ascii="Times New Roman" w:eastAsia="Times New Roman" w:hAnsi="Times New Roman" w:cs="Times New Roman"/>
          <w:sz w:val="24"/>
          <w:szCs w:val="24"/>
        </w:rPr>
        <w:t xml:space="preserve">de </w:t>
      </w:r>
      <w:r w:rsidRPr="00BA784D">
        <w:rPr>
          <w:rFonts w:ascii="Times New Roman" w:eastAsia="Times New Roman" w:hAnsi="Times New Roman" w:cs="Times New Roman"/>
          <w:sz w:val="24"/>
          <w:szCs w:val="24"/>
        </w:rPr>
        <w:t>evaluación, conforme a la línea de acción 2.1.7-A</w:t>
      </w:r>
      <w:r w:rsidR="008C5643"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24D9FA93" w14:textId="2D1D1EB2"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5.1.11 Elaborar un compendio estadístico socialmente útil en materia de recursos de revisión que permita reutilizar su información para construir estudios, visualizaciones o sitios electrónicos en los que se realice su diagnóstico y desafíos para establecer posibles rutas de mejora al ejercicio del DAI en el territorio nacional</w:t>
      </w:r>
      <w:r w:rsidR="008C5643"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596EA9F3" w14:textId="12F37D3A"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5.1.12 Diseñar mecanismos y metodologías para promover el cumplimiento, la efectiva aplicación y el seguimiento de las medidas de apremio y sanciones que en su caso correspondan. Asimismo, diseñar y difundir modelos para impulsar las ventajas procesales y de efectividad de la imposición de medidas de apremio</w:t>
      </w:r>
      <w:r w:rsidR="008C5643"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057AB33C" w14:textId="343DF48C"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5.1.13 Desarrollar e implementar metodologías y criterios, en coordinación con las Comisiones del SNT correspondientes, para el análisis e interposición de acciones de inconstitucionalidad y controversias constitucionales por parte de los Organismos Garantes</w:t>
      </w:r>
      <w:r w:rsidR="008C5643"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4F3AC41C" w14:textId="735A28FA" w:rsidR="00E35B30" w:rsidRPr="00BA784D" w:rsidRDefault="0036612A">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5.1.14 Desarrollar análisis y práctica de litigio estratégico orientado a la generación de precedentes, tesis y jurisprudencia que definan la procedencia de medios de impugnación</w:t>
      </w:r>
      <w:r w:rsidR="008C5643"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1C8252AC" w14:textId="77777777" w:rsidR="00E35B30" w:rsidRPr="00BA784D" w:rsidRDefault="0036612A">
      <w:pPr>
        <w:widowControl/>
        <w:spacing w:before="280" w:line="360" w:lineRule="auto"/>
        <w:jc w:val="both"/>
        <w:rPr>
          <w:rFonts w:ascii="Times New Roman" w:eastAsia="Times New Roman" w:hAnsi="Times New Roman" w:cs="Times New Roman"/>
          <w:b/>
          <w:i/>
          <w:sz w:val="24"/>
          <w:szCs w:val="24"/>
        </w:rPr>
      </w:pPr>
      <w:r w:rsidRPr="00BA784D">
        <w:rPr>
          <w:rFonts w:ascii="Times New Roman" w:eastAsia="Times New Roman" w:hAnsi="Times New Roman" w:cs="Times New Roman"/>
          <w:b/>
          <w:sz w:val="24"/>
          <w:szCs w:val="24"/>
        </w:rPr>
        <w:t>Estrategias:</w:t>
      </w:r>
      <w:r w:rsidRPr="00BA784D">
        <w:rPr>
          <w:rFonts w:ascii="Times New Roman" w:eastAsia="Times New Roman" w:hAnsi="Times New Roman" w:cs="Times New Roman"/>
          <w:sz w:val="24"/>
          <w:szCs w:val="24"/>
        </w:rPr>
        <w:t xml:space="preserve"> Socialización / Coordinación / Capacitación / Inclusión / Comunicación</w:t>
      </w:r>
      <w:r w:rsidRPr="00BA784D">
        <w:rPr>
          <w:rFonts w:ascii="Times New Roman" w:eastAsia="Times New Roman" w:hAnsi="Times New Roman" w:cs="Times New Roman"/>
          <w:b/>
          <w:i/>
          <w:sz w:val="24"/>
          <w:szCs w:val="24"/>
        </w:rPr>
        <w:t xml:space="preserve"> </w:t>
      </w:r>
    </w:p>
    <w:p w14:paraId="4EAA448F"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Socialización: </w:t>
      </w:r>
      <w:r w:rsidRPr="00BA784D">
        <w:rPr>
          <w:rFonts w:ascii="Times New Roman" w:eastAsia="Times New Roman" w:hAnsi="Times New Roman" w:cs="Times New Roman"/>
          <w:sz w:val="24"/>
          <w:szCs w:val="24"/>
        </w:rPr>
        <w:t xml:space="preserve">Establecimiento de alianzas, convenios e iniciativas con instituciones, organizaciones y personas. </w:t>
      </w:r>
    </w:p>
    <w:p w14:paraId="75150500"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Coordinación:</w:t>
      </w:r>
      <w:r w:rsidRPr="00BA784D">
        <w:rPr>
          <w:rFonts w:ascii="Times New Roman" w:eastAsia="Times New Roman" w:hAnsi="Times New Roman" w:cs="Times New Roman"/>
          <w:sz w:val="24"/>
          <w:szCs w:val="24"/>
        </w:rPr>
        <w:t xml:space="preserve"> Vinculación con instancias y Comisiones del SNT.</w:t>
      </w:r>
    </w:p>
    <w:p w14:paraId="426DD626"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Capacitación: </w:t>
      </w:r>
      <w:r w:rsidRPr="00BA784D">
        <w:rPr>
          <w:rFonts w:ascii="Times New Roman" w:eastAsia="Times New Roman" w:hAnsi="Times New Roman" w:cs="Times New Roman"/>
          <w:sz w:val="24"/>
          <w:szCs w:val="24"/>
        </w:rPr>
        <w:t xml:space="preserve">Instrumentos del SNT establecidos en la línea de acción 2.1.1-C. </w:t>
      </w:r>
    </w:p>
    <w:p w14:paraId="0ABD411B"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Inclusión:</w:t>
      </w:r>
      <w:r w:rsidRPr="00BA784D">
        <w:rPr>
          <w:rFonts w:ascii="Times New Roman" w:eastAsia="Times New Roman" w:hAnsi="Times New Roman" w:cs="Times New Roman"/>
          <w:sz w:val="24"/>
          <w:szCs w:val="24"/>
        </w:rPr>
        <w:t xml:space="preserve"> Desarrollar acciones e iniciativas dirigidas a personas en situación de vulnerabilidad para fortalecer su inclusión en la garantía del ejercicio de su DAI.</w:t>
      </w:r>
    </w:p>
    <w:p w14:paraId="19775F5C" w14:textId="77777777" w:rsidR="00E35B30" w:rsidRPr="00BA784D" w:rsidRDefault="0036612A">
      <w:pPr>
        <w:widowControl/>
        <w:numPr>
          <w:ilvl w:val="0"/>
          <w:numId w:val="20"/>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Comunicación: </w:t>
      </w:r>
      <w:r w:rsidRPr="00BA784D">
        <w:rPr>
          <w:rFonts w:ascii="Times New Roman" w:eastAsia="Times New Roman" w:hAnsi="Times New Roman" w:cs="Times New Roman"/>
          <w:sz w:val="24"/>
          <w:szCs w:val="24"/>
        </w:rPr>
        <w:t>Acciones coordinadas y evaluadas a nivel nacional y ajustables localmente a las necesidades de Organismos Garantes y Sujetos Obligados.</w:t>
      </w:r>
    </w:p>
    <w:p w14:paraId="139208E4" w14:textId="77777777" w:rsidR="00E35B30" w:rsidRPr="00BA784D" w:rsidRDefault="00E35B30">
      <w:pPr>
        <w:widowControl/>
        <w:spacing w:line="360" w:lineRule="auto"/>
        <w:jc w:val="both"/>
        <w:rPr>
          <w:rFonts w:ascii="Times New Roman" w:eastAsia="Times New Roman" w:hAnsi="Times New Roman" w:cs="Times New Roman"/>
          <w:b/>
          <w:sz w:val="24"/>
          <w:szCs w:val="24"/>
        </w:rPr>
      </w:pPr>
    </w:p>
    <w:p w14:paraId="646BDCB5"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Indicador de Resultado: </w:t>
      </w:r>
      <w:r w:rsidRPr="00BA784D">
        <w:rPr>
          <w:rFonts w:ascii="Times New Roman" w:eastAsia="Times New Roman" w:hAnsi="Times New Roman" w:cs="Times New Roman"/>
          <w:sz w:val="24"/>
          <w:szCs w:val="24"/>
        </w:rPr>
        <w:t>Porcentaje de Recursos de Revisión en Materia de Acceso a la Información Desechados por los Organismos Garantes.</w:t>
      </w:r>
    </w:p>
    <w:p w14:paraId="18FEE958" w14:textId="252BBDAF"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Línea Base:</w:t>
      </w:r>
      <w:r w:rsidRPr="00BA784D">
        <w:rPr>
          <w:rFonts w:ascii="Times New Roman" w:eastAsia="Times New Roman" w:hAnsi="Times New Roman" w:cs="Times New Roman"/>
          <w:sz w:val="24"/>
          <w:szCs w:val="24"/>
        </w:rPr>
        <w:t xml:space="preserve"> 18.51, CNTAI</w:t>
      </w:r>
      <w:r w:rsidR="000A0337" w:rsidRPr="00BA784D">
        <w:rPr>
          <w:rFonts w:ascii="Times New Roman" w:eastAsia="Times New Roman" w:hAnsi="Times New Roman" w:cs="Times New Roman"/>
          <w:sz w:val="24"/>
          <w:szCs w:val="24"/>
        </w:rPr>
        <w:t>PPDPF y CNTAIPPDPE</w:t>
      </w:r>
      <w:r w:rsidRPr="00BA784D">
        <w:rPr>
          <w:rFonts w:ascii="Times New Roman" w:eastAsia="Times New Roman" w:hAnsi="Times New Roman" w:cs="Times New Roman"/>
          <w:sz w:val="24"/>
          <w:szCs w:val="24"/>
        </w:rPr>
        <w:t xml:space="preserve"> 2020</w:t>
      </w:r>
    </w:p>
    <w:p w14:paraId="064A836E" w14:textId="3DCDF08C" w:rsidR="00E35B30" w:rsidRPr="00BA784D" w:rsidRDefault="0036612A">
      <w:pPr>
        <w:spacing w:line="360" w:lineRule="auto"/>
        <w:jc w:val="both"/>
        <w:rPr>
          <w:rFonts w:ascii="Arial" w:eastAsia="Arial" w:hAnsi="Arial" w:cs="Arial"/>
          <w:sz w:val="20"/>
          <w:szCs w:val="20"/>
        </w:rPr>
      </w:pPr>
      <w:r w:rsidRPr="00BA784D">
        <w:rPr>
          <w:rFonts w:ascii="Times New Roman" w:eastAsia="Times New Roman" w:hAnsi="Times New Roman" w:cs="Times New Roman"/>
          <w:sz w:val="24"/>
          <w:szCs w:val="24"/>
        </w:rPr>
        <w:t>Medir la cobertura en la atención  de los recursos de revisión</w:t>
      </w:r>
      <w:r w:rsidR="00712BF6" w:rsidRPr="00BA784D">
        <w:rPr>
          <w:rFonts w:ascii="Times New Roman" w:eastAsia="Times New Roman" w:hAnsi="Times New Roman" w:cs="Times New Roman"/>
          <w:sz w:val="24"/>
          <w:szCs w:val="24"/>
        </w:rPr>
        <w:t xml:space="preserve"> en materia de acceso a la información</w:t>
      </w:r>
      <w:r w:rsidRPr="00BA784D">
        <w:rPr>
          <w:rFonts w:ascii="Times New Roman" w:eastAsia="Times New Roman" w:hAnsi="Times New Roman" w:cs="Times New Roman"/>
          <w:sz w:val="24"/>
          <w:szCs w:val="24"/>
        </w:rPr>
        <w:t>, por medio de la proporción de recursos desechados respecto al total de recursos recibidos a partir del Tabulado de Recursos de revisión recibidos por el Organismo Garante, por nivel de gobierno, entidad federativa y tipo de sujeto obligado, según materia y estatus obtenido por el CNTAI</w:t>
      </w:r>
      <w:r w:rsidR="000A0337" w:rsidRPr="00BA784D">
        <w:rPr>
          <w:rFonts w:ascii="Times New Roman" w:eastAsia="Times New Roman" w:hAnsi="Times New Roman" w:cs="Times New Roman"/>
          <w:sz w:val="24"/>
          <w:szCs w:val="24"/>
        </w:rPr>
        <w:t>PPDP</w:t>
      </w:r>
      <w:r w:rsidRPr="00BA784D">
        <w:rPr>
          <w:rFonts w:ascii="Times New Roman" w:eastAsia="Times New Roman" w:hAnsi="Times New Roman" w:cs="Times New Roman"/>
          <w:sz w:val="24"/>
          <w:szCs w:val="24"/>
        </w:rPr>
        <w:t xml:space="preserve">, considerando que esta fuente tiene periodicidad continua en </w:t>
      </w:r>
      <w:r w:rsidRPr="00BA784D">
        <w:rPr>
          <w:rFonts w:ascii="Times New Roman" w:eastAsia="Times New Roman" w:hAnsi="Times New Roman" w:cs="Times New Roman"/>
          <w:sz w:val="24"/>
          <w:szCs w:val="24"/>
        </w:rPr>
        <w:lastRenderedPageBreak/>
        <w:t>su publicidad y confiabilidad metodológica en su construcción aunque no proporciona otras características cualitativas deseables en la medición de la problemática como respeto de derechos procesales o suplencia de la queja, entre otros. Sin embargo,  el incremento en la proporción promedio de recursos desechados de 10% en 2016, 14% en 2017, 23% en 2019, 19.2% en 2020 y 21.5% en 2021</w:t>
      </w:r>
      <w:r w:rsidRPr="00BA784D">
        <w:rPr>
          <w:rFonts w:ascii="Times New Roman" w:eastAsia="Times New Roman" w:hAnsi="Times New Roman" w:cs="Times New Roman"/>
          <w:sz w:val="24"/>
          <w:szCs w:val="24"/>
          <w:vertAlign w:val="superscript"/>
        </w:rPr>
        <w:footnoteReference w:id="22"/>
      </w:r>
      <w:r w:rsidRPr="00BA784D">
        <w:rPr>
          <w:rFonts w:ascii="Times New Roman" w:eastAsia="Times New Roman" w:hAnsi="Times New Roman" w:cs="Times New Roman"/>
          <w:sz w:val="24"/>
          <w:szCs w:val="24"/>
        </w:rPr>
        <w:t>, muestra que los criterios para admitir a resolución los recursos de revisión se han vuelto más estrictos y que las valoraciones de las causales podrían no estar considerando el respeto de derechos procesales, desarrollando adecuados mecanismos de inclusión de personas promoventes, una adecuada suplencia de la queja o del control de convencionalidad; por ello se considera que la medición propuesta de este indicador proporciona una primera aproximación que engloba las causas de desechamiento establecidas en el Artículo 155 de la LGTAIP y las implicaciones señaladas:</w:t>
      </w:r>
    </w:p>
    <w:p w14:paraId="73A0B7BF" w14:textId="20920AFF" w:rsidR="00E35B30" w:rsidRPr="00BA784D" w:rsidRDefault="0036612A" w:rsidP="00C93171">
      <w:pPr>
        <w:spacing w:line="276" w:lineRule="auto"/>
        <w:ind w:left="1000" w:hanging="720"/>
        <w:jc w:val="both"/>
      </w:pPr>
      <w:r w:rsidRPr="00BA784D">
        <w:t>Presentación extemporánea por haber transcurrido el plazo de quince días establecido en el artículo 142</w:t>
      </w:r>
      <w:r w:rsidRPr="00BA784D">
        <w:rPr>
          <w:vertAlign w:val="superscript"/>
        </w:rPr>
        <w:footnoteReference w:id="23"/>
      </w:r>
      <w:r w:rsidRPr="00BA784D">
        <w:t xml:space="preserve"> de la LGTAIP;</w:t>
      </w:r>
    </w:p>
    <w:p w14:paraId="77B621B4" w14:textId="77777777" w:rsidR="00E35B30" w:rsidRPr="00BA784D" w:rsidRDefault="0036612A">
      <w:pPr>
        <w:spacing w:line="276" w:lineRule="auto"/>
        <w:ind w:left="1000" w:hanging="720"/>
        <w:jc w:val="both"/>
        <w:rPr>
          <w:rFonts w:ascii="Arial" w:eastAsia="Arial" w:hAnsi="Arial" w:cs="Arial"/>
          <w:sz w:val="20"/>
          <w:szCs w:val="20"/>
        </w:rPr>
      </w:pPr>
      <w:r w:rsidRPr="00BA784D">
        <w:rPr>
          <w:rFonts w:ascii="Arial" w:eastAsia="Arial" w:hAnsi="Arial" w:cs="Arial"/>
          <w:b/>
          <w:sz w:val="20"/>
          <w:szCs w:val="20"/>
        </w:rPr>
        <w:t xml:space="preserve">II.     </w:t>
      </w:r>
      <w:r w:rsidRPr="00BA784D">
        <w:rPr>
          <w:rFonts w:ascii="Arial" w:eastAsia="Arial" w:hAnsi="Arial" w:cs="Arial"/>
          <w:b/>
          <w:sz w:val="20"/>
          <w:szCs w:val="20"/>
        </w:rPr>
        <w:tab/>
      </w:r>
      <w:r w:rsidRPr="00BA784D">
        <w:rPr>
          <w:rFonts w:ascii="Arial" w:eastAsia="Arial" w:hAnsi="Arial" w:cs="Arial"/>
          <w:sz w:val="20"/>
          <w:szCs w:val="20"/>
        </w:rPr>
        <w:t>Tramitación ante el Poder Judicial de algún recurso o interposición de algún medio de defensa por el recurrente;</w:t>
      </w:r>
    </w:p>
    <w:p w14:paraId="2137F865" w14:textId="77777777" w:rsidR="00E35B30" w:rsidRPr="00BA784D" w:rsidRDefault="0036612A">
      <w:pPr>
        <w:spacing w:line="276" w:lineRule="auto"/>
        <w:ind w:left="1000" w:hanging="720"/>
        <w:jc w:val="both"/>
        <w:rPr>
          <w:rFonts w:ascii="Arial" w:eastAsia="Arial" w:hAnsi="Arial" w:cs="Arial"/>
          <w:sz w:val="20"/>
          <w:szCs w:val="20"/>
        </w:rPr>
      </w:pPr>
      <w:r w:rsidRPr="00BA784D">
        <w:rPr>
          <w:rFonts w:ascii="Arial" w:eastAsia="Arial" w:hAnsi="Arial" w:cs="Arial"/>
          <w:b/>
          <w:sz w:val="20"/>
          <w:szCs w:val="20"/>
        </w:rPr>
        <w:t xml:space="preserve">III.    </w:t>
      </w:r>
      <w:r w:rsidRPr="00BA784D">
        <w:rPr>
          <w:rFonts w:ascii="Arial" w:eastAsia="Arial" w:hAnsi="Arial" w:cs="Arial"/>
          <w:b/>
          <w:sz w:val="20"/>
          <w:szCs w:val="20"/>
        </w:rPr>
        <w:tab/>
      </w:r>
      <w:r w:rsidRPr="00BA784D">
        <w:rPr>
          <w:rFonts w:ascii="Arial" w:eastAsia="Arial" w:hAnsi="Arial" w:cs="Arial"/>
          <w:sz w:val="20"/>
          <w:szCs w:val="20"/>
        </w:rPr>
        <w:t>Falta de actualización de alguno de los supuestos previstos en el artículo 143</w:t>
      </w:r>
      <w:r w:rsidRPr="00BA784D">
        <w:rPr>
          <w:rFonts w:ascii="Arial" w:eastAsia="Arial" w:hAnsi="Arial" w:cs="Arial"/>
          <w:sz w:val="20"/>
          <w:szCs w:val="20"/>
          <w:vertAlign w:val="superscript"/>
        </w:rPr>
        <w:footnoteReference w:id="24"/>
      </w:r>
      <w:r w:rsidRPr="00BA784D">
        <w:rPr>
          <w:rFonts w:ascii="Arial" w:eastAsia="Arial" w:hAnsi="Arial" w:cs="Arial"/>
          <w:sz w:val="20"/>
          <w:szCs w:val="20"/>
        </w:rPr>
        <w:t xml:space="preserve"> de la </w:t>
      </w:r>
      <w:r w:rsidRPr="00BA784D">
        <w:rPr>
          <w:rFonts w:ascii="Arial" w:eastAsia="Arial" w:hAnsi="Arial" w:cs="Arial"/>
          <w:sz w:val="20"/>
          <w:szCs w:val="20"/>
        </w:rPr>
        <w:lastRenderedPageBreak/>
        <w:t>LGTAIP; lo que supondría un conocimiento claro de la persona recurrente de las implicaciones de los conceptos de las causales;</w:t>
      </w:r>
    </w:p>
    <w:p w14:paraId="7B40F3DC" w14:textId="77777777" w:rsidR="00E35B30" w:rsidRPr="00BA784D" w:rsidRDefault="0036612A">
      <w:pPr>
        <w:spacing w:line="276" w:lineRule="auto"/>
        <w:ind w:left="1000" w:hanging="720"/>
        <w:jc w:val="both"/>
        <w:rPr>
          <w:rFonts w:ascii="Arial" w:eastAsia="Arial" w:hAnsi="Arial" w:cs="Arial"/>
          <w:sz w:val="20"/>
          <w:szCs w:val="20"/>
        </w:rPr>
      </w:pPr>
      <w:r w:rsidRPr="00BA784D">
        <w:rPr>
          <w:rFonts w:ascii="Arial" w:eastAsia="Arial" w:hAnsi="Arial" w:cs="Arial"/>
          <w:b/>
          <w:sz w:val="20"/>
          <w:szCs w:val="20"/>
        </w:rPr>
        <w:t xml:space="preserve">IV.    </w:t>
      </w:r>
      <w:r w:rsidRPr="00BA784D">
        <w:rPr>
          <w:rFonts w:ascii="Arial" w:eastAsia="Arial" w:hAnsi="Arial" w:cs="Arial"/>
          <w:b/>
          <w:sz w:val="20"/>
          <w:szCs w:val="20"/>
        </w:rPr>
        <w:tab/>
      </w:r>
      <w:r w:rsidRPr="00BA784D">
        <w:rPr>
          <w:rFonts w:ascii="Arial" w:eastAsia="Arial" w:hAnsi="Arial" w:cs="Arial"/>
          <w:sz w:val="20"/>
          <w:szCs w:val="20"/>
        </w:rPr>
        <w:t>Falta del desahogo de la prevención en los términos establecidos en el artículo 145</w:t>
      </w:r>
      <w:r w:rsidRPr="00BA784D">
        <w:rPr>
          <w:rFonts w:ascii="Arial" w:eastAsia="Arial" w:hAnsi="Arial" w:cs="Arial"/>
          <w:sz w:val="20"/>
          <w:szCs w:val="20"/>
          <w:vertAlign w:val="superscript"/>
        </w:rPr>
        <w:footnoteReference w:id="25"/>
      </w:r>
      <w:r w:rsidRPr="00BA784D">
        <w:rPr>
          <w:rFonts w:ascii="Arial" w:eastAsia="Arial" w:hAnsi="Arial" w:cs="Arial"/>
          <w:sz w:val="20"/>
          <w:szCs w:val="20"/>
        </w:rPr>
        <w:t xml:space="preserve"> de la LGTAIP;</w:t>
      </w:r>
    </w:p>
    <w:p w14:paraId="05D82F78" w14:textId="77777777" w:rsidR="00E35B30" w:rsidRPr="00BA784D" w:rsidRDefault="0036612A">
      <w:pPr>
        <w:spacing w:line="276" w:lineRule="auto"/>
        <w:ind w:left="1000" w:hanging="720"/>
        <w:jc w:val="both"/>
        <w:rPr>
          <w:rFonts w:ascii="Arial" w:eastAsia="Arial" w:hAnsi="Arial" w:cs="Arial"/>
          <w:sz w:val="20"/>
          <w:szCs w:val="20"/>
        </w:rPr>
      </w:pPr>
      <w:r w:rsidRPr="00BA784D">
        <w:rPr>
          <w:rFonts w:ascii="Arial" w:eastAsia="Arial" w:hAnsi="Arial" w:cs="Arial"/>
          <w:b/>
          <w:sz w:val="20"/>
          <w:szCs w:val="20"/>
        </w:rPr>
        <w:t xml:space="preserve">V.     </w:t>
      </w:r>
      <w:r w:rsidRPr="00BA784D">
        <w:rPr>
          <w:rFonts w:ascii="Arial" w:eastAsia="Arial" w:hAnsi="Arial" w:cs="Arial"/>
          <w:b/>
          <w:sz w:val="20"/>
          <w:szCs w:val="20"/>
        </w:rPr>
        <w:tab/>
      </w:r>
      <w:r w:rsidRPr="00BA784D">
        <w:rPr>
          <w:rFonts w:ascii="Arial" w:eastAsia="Arial" w:hAnsi="Arial" w:cs="Arial"/>
          <w:sz w:val="20"/>
          <w:szCs w:val="20"/>
        </w:rPr>
        <w:t>Impugnación de la veracidad de la información proporcionada;</w:t>
      </w:r>
    </w:p>
    <w:p w14:paraId="51A1BB7A" w14:textId="77777777" w:rsidR="00E35B30" w:rsidRPr="00BA784D" w:rsidRDefault="0036612A">
      <w:pPr>
        <w:spacing w:line="276" w:lineRule="auto"/>
        <w:ind w:left="1000" w:hanging="720"/>
        <w:jc w:val="both"/>
        <w:rPr>
          <w:rFonts w:ascii="Arial" w:eastAsia="Arial" w:hAnsi="Arial" w:cs="Arial"/>
          <w:sz w:val="20"/>
          <w:szCs w:val="20"/>
        </w:rPr>
      </w:pPr>
      <w:r w:rsidRPr="00BA784D">
        <w:rPr>
          <w:rFonts w:ascii="Arial" w:eastAsia="Arial" w:hAnsi="Arial" w:cs="Arial"/>
          <w:b/>
          <w:sz w:val="20"/>
          <w:szCs w:val="20"/>
        </w:rPr>
        <w:t xml:space="preserve">VI.    </w:t>
      </w:r>
      <w:r w:rsidRPr="00BA784D">
        <w:rPr>
          <w:rFonts w:ascii="Arial" w:eastAsia="Arial" w:hAnsi="Arial" w:cs="Arial"/>
          <w:b/>
          <w:sz w:val="20"/>
          <w:szCs w:val="20"/>
        </w:rPr>
        <w:tab/>
      </w:r>
      <w:r w:rsidRPr="00BA784D">
        <w:rPr>
          <w:rFonts w:ascii="Arial" w:eastAsia="Arial" w:hAnsi="Arial" w:cs="Arial"/>
          <w:sz w:val="20"/>
          <w:szCs w:val="20"/>
        </w:rPr>
        <w:t>Se trate de una consulta, o</w:t>
      </w:r>
    </w:p>
    <w:p w14:paraId="44A20997" w14:textId="77777777" w:rsidR="00E35B30" w:rsidRPr="00BA784D" w:rsidRDefault="0036612A">
      <w:pPr>
        <w:spacing w:line="276" w:lineRule="auto"/>
        <w:ind w:left="1000" w:hanging="720"/>
        <w:jc w:val="both"/>
        <w:rPr>
          <w:rFonts w:ascii="Arial" w:eastAsia="Arial" w:hAnsi="Arial" w:cs="Arial"/>
          <w:sz w:val="20"/>
          <w:szCs w:val="20"/>
        </w:rPr>
      </w:pPr>
      <w:r w:rsidRPr="00BA784D">
        <w:rPr>
          <w:rFonts w:ascii="Arial" w:eastAsia="Arial" w:hAnsi="Arial" w:cs="Arial"/>
          <w:b/>
          <w:sz w:val="20"/>
          <w:szCs w:val="20"/>
        </w:rPr>
        <w:t xml:space="preserve">VII.   </w:t>
      </w:r>
      <w:r w:rsidRPr="00BA784D">
        <w:rPr>
          <w:rFonts w:ascii="Arial" w:eastAsia="Arial" w:hAnsi="Arial" w:cs="Arial"/>
          <w:b/>
          <w:sz w:val="20"/>
          <w:szCs w:val="20"/>
        </w:rPr>
        <w:tab/>
      </w:r>
      <w:r w:rsidRPr="00BA784D">
        <w:rPr>
          <w:rFonts w:ascii="Arial" w:eastAsia="Arial" w:hAnsi="Arial" w:cs="Arial"/>
          <w:sz w:val="20"/>
          <w:szCs w:val="20"/>
        </w:rPr>
        <w:t>El recurrente amplíe su solicitud en el recurso de revisión, únicamente respecto de los nuevos contenidos.</w:t>
      </w:r>
    </w:p>
    <w:p w14:paraId="1756D0A2" w14:textId="77777777" w:rsidR="00E35B30" w:rsidRPr="00BA784D" w:rsidRDefault="00E35B30">
      <w:pPr>
        <w:spacing w:line="360" w:lineRule="auto"/>
        <w:jc w:val="both"/>
        <w:rPr>
          <w:rFonts w:ascii="Times New Roman" w:eastAsia="Times New Roman" w:hAnsi="Times New Roman" w:cs="Times New Roman"/>
          <w:sz w:val="24"/>
          <w:szCs w:val="24"/>
        </w:rPr>
      </w:pPr>
    </w:p>
    <w:p w14:paraId="788E841B" w14:textId="77777777" w:rsidR="00E35B30" w:rsidRPr="00BA784D" w:rsidRDefault="0036612A">
      <w:pPr>
        <w:spacing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 xml:space="preserve">NOTA DE CAUCIÓN: Se recomienda priorizar las acciones de generación de estadísticas relativas a la eficacia en la resolución de medios de impugnación respetando los derechos procesales, principio </w:t>
      </w:r>
      <w:r w:rsidRPr="00BA784D">
        <w:rPr>
          <w:rFonts w:ascii="Times New Roman" w:eastAsia="Times New Roman" w:hAnsi="Times New Roman" w:cs="Times New Roman"/>
          <w:b/>
          <w:i/>
          <w:sz w:val="24"/>
          <w:szCs w:val="24"/>
        </w:rPr>
        <w:t>pro-persona</w:t>
      </w:r>
      <w:r w:rsidRPr="00BA784D">
        <w:rPr>
          <w:rFonts w:ascii="Times New Roman" w:eastAsia="Times New Roman" w:hAnsi="Times New Roman" w:cs="Times New Roman"/>
          <w:b/>
          <w:sz w:val="24"/>
          <w:szCs w:val="24"/>
        </w:rPr>
        <w:t>, la suplencia de la queja y la aplicación del control de convencionalidad, así como del uso de lenguaje ciudadano y mecanismos de inclusión en las resoluciones a las personas promoventes.</w:t>
      </w:r>
    </w:p>
    <w:p w14:paraId="0E6EF4ED" w14:textId="77777777" w:rsidR="00E35B30" w:rsidRPr="00BA784D" w:rsidRDefault="00E35B30">
      <w:pPr>
        <w:widowControl/>
        <w:spacing w:before="280" w:after="280" w:line="360" w:lineRule="auto"/>
        <w:jc w:val="both"/>
        <w:rPr>
          <w:rFonts w:ascii="Times New Roman" w:eastAsia="Times New Roman" w:hAnsi="Times New Roman" w:cs="Times New Roman"/>
          <w:b/>
          <w:i/>
          <w:sz w:val="24"/>
          <w:szCs w:val="24"/>
        </w:rPr>
      </w:pPr>
    </w:p>
    <w:p w14:paraId="51B6D7FA" w14:textId="77777777" w:rsidR="00E35B30" w:rsidRPr="00BA784D" w:rsidRDefault="00E35B30">
      <w:pPr>
        <w:widowControl/>
        <w:pBdr>
          <w:top w:val="nil"/>
          <w:left w:val="nil"/>
          <w:bottom w:val="nil"/>
          <w:right w:val="nil"/>
          <w:between w:val="nil"/>
        </w:pBdr>
        <w:spacing w:line="360" w:lineRule="auto"/>
        <w:ind w:left="680" w:right="51" w:hanging="680"/>
        <w:jc w:val="both"/>
        <w:rPr>
          <w:rFonts w:ascii="Times New Roman" w:eastAsia="Times New Roman" w:hAnsi="Times New Roman" w:cs="Times New Roman"/>
          <w:sz w:val="24"/>
          <w:szCs w:val="24"/>
        </w:rPr>
      </w:pPr>
    </w:p>
    <w:p w14:paraId="6E886E48" w14:textId="77777777" w:rsidR="00E35B30" w:rsidRPr="00BA784D" w:rsidRDefault="00E35B30">
      <w:pPr>
        <w:spacing w:line="360" w:lineRule="auto"/>
        <w:rPr>
          <w:rFonts w:ascii="Times New Roman" w:eastAsia="Times New Roman" w:hAnsi="Times New Roman" w:cs="Times New Roman"/>
          <w:sz w:val="24"/>
          <w:szCs w:val="24"/>
        </w:rPr>
      </w:pPr>
      <w:bookmarkStart w:id="33" w:name="_heading=h.auspeu10ati8" w:colFirst="0" w:colLast="0"/>
      <w:bookmarkEnd w:id="33"/>
    </w:p>
    <w:p w14:paraId="02FB9F8B" w14:textId="77777777" w:rsidR="00E35B30" w:rsidRPr="00BA784D" w:rsidRDefault="0036612A">
      <w:pPr>
        <w:pStyle w:val="Ttulo2"/>
        <w:spacing w:line="360" w:lineRule="auto"/>
        <w:ind w:left="0"/>
        <w:rPr>
          <w:sz w:val="24"/>
          <w:szCs w:val="24"/>
        </w:rPr>
      </w:pPr>
      <w:bookmarkStart w:id="34" w:name="_heading=h.rv0sqzx523sf" w:colFirst="0" w:colLast="0"/>
      <w:bookmarkEnd w:id="34"/>
      <w:r w:rsidRPr="00BA784D">
        <w:br w:type="page"/>
      </w:r>
    </w:p>
    <w:p w14:paraId="0A2453D1" w14:textId="77777777" w:rsidR="00E35B30" w:rsidRPr="00BA784D" w:rsidRDefault="0036612A">
      <w:pPr>
        <w:pStyle w:val="Ttulo2"/>
        <w:spacing w:line="360" w:lineRule="auto"/>
        <w:ind w:left="0"/>
        <w:rPr>
          <w:sz w:val="24"/>
          <w:szCs w:val="24"/>
        </w:rPr>
      </w:pPr>
      <w:bookmarkStart w:id="35" w:name="_Toc102051236"/>
      <w:r w:rsidRPr="00BA784D">
        <w:rPr>
          <w:sz w:val="24"/>
          <w:szCs w:val="24"/>
        </w:rPr>
        <w:lastRenderedPageBreak/>
        <w:t>Eje Transversal A. Promoción, Difusión y Fomento de la Cultura de Transparencia y Acceso a la Información</w:t>
      </w:r>
      <w:bookmarkEnd w:id="35"/>
    </w:p>
    <w:p w14:paraId="2EB034DF" w14:textId="77777777"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Síntesis de la problemática identificada en el diagnóstico:</w:t>
      </w:r>
      <w:r w:rsidRPr="00BA784D">
        <w:rPr>
          <w:rFonts w:ascii="Times New Roman" w:eastAsia="Times New Roman" w:hAnsi="Times New Roman" w:cs="Times New Roman"/>
          <w:sz w:val="24"/>
          <w:szCs w:val="24"/>
        </w:rPr>
        <w:t xml:space="preserve"> Los medios para la promoción, difusión y fomento de esta cultura deben tener seguimiento y evaluación para mejorar sus resultados entre la población, en el ámbito federal y estatal. En el diagnóstico de este programa se menciona que 8 Organismos Garantes reportaron en 2021 que evalúan el impacto de sus campañas de difusión, mientras que 19 no lo hacen. Asimismo, 19 Organismos Garantes incluyendo al INAI observan alguna variación significativa en los últimos 3 años en la percepción de la sociedad del derecho a conocer la información que genera el gobierno frente a 8 Organismos Garantes que no. </w:t>
      </w:r>
    </w:p>
    <w:p w14:paraId="38E92578" w14:textId="77777777" w:rsidR="00E35B30" w:rsidRPr="00BA784D" w:rsidRDefault="0036612A">
      <w:pPr>
        <w:spacing w:line="360" w:lineRule="auto"/>
        <w:jc w:val="both"/>
        <w:rPr>
          <w:rFonts w:ascii="Times New Roman" w:eastAsia="Times New Roman" w:hAnsi="Times New Roman" w:cs="Times New Roman"/>
          <w:sz w:val="24"/>
          <w:szCs w:val="24"/>
        </w:rPr>
      </w:pPr>
      <w:bookmarkStart w:id="36" w:name="_heading=h.kdfxzjfm6ms8" w:colFirst="0" w:colLast="0"/>
      <w:bookmarkEnd w:id="36"/>
      <w:r w:rsidRPr="00BA784D">
        <w:rPr>
          <w:rFonts w:ascii="Times New Roman" w:eastAsia="Times New Roman" w:hAnsi="Times New Roman" w:cs="Times New Roman"/>
          <w:sz w:val="24"/>
          <w:szCs w:val="24"/>
        </w:rPr>
        <w:t>Este tema se vuelve muy relevante porque representa la entrada al conocimiento sobre la transparencia y el derecho a la información, tanto de las instancias públicas responsables, como a los propios derechos que tiene la sociedad para su acceso. Al respecto, en 2021, 27 Organismos Garantes (que representa un 84.4%) y el INAI realizaron actividades de promoción a través del uso de las Tecnologías de la Información y de Comunicación (TIC’s).</w:t>
      </w:r>
    </w:p>
    <w:p w14:paraId="634F4EB6" w14:textId="77777777" w:rsidR="00E35B30" w:rsidRPr="00BA784D" w:rsidRDefault="0036612A">
      <w:pPr>
        <w:spacing w:line="360" w:lineRule="auto"/>
        <w:jc w:val="both"/>
        <w:rPr>
          <w:rFonts w:ascii="Times New Roman" w:eastAsia="Times New Roman" w:hAnsi="Times New Roman" w:cs="Times New Roman"/>
          <w:sz w:val="24"/>
          <w:szCs w:val="24"/>
        </w:rPr>
      </w:pPr>
      <w:bookmarkStart w:id="37" w:name="_heading=h.o6afmp6nkh2z" w:colFirst="0" w:colLast="0"/>
      <w:bookmarkEnd w:id="37"/>
      <w:r w:rsidRPr="00BA784D">
        <w:rPr>
          <w:rFonts w:ascii="Times New Roman" w:eastAsia="Times New Roman" w:hAnsi="Times New Roman" w:cs="Times New Roman"/>
          <w:sz w:val="24"/>
          <w:szCs w:val="24"/>
        </w:rPr>
        <w:t>Finalmente, es importante señalar que ha disminuido el porcentaje de población que busca información de gobierno en las páginas de internet institucionales, de 44% en 2015 a 35.7% en 2019. De hecho, es más grande el porcentaje de quienes deciden hablar por teléfono para solicitar información gubernamental (que era 4.6% en 2019) en comparación con buscarla en internet (3% en 2019). Concretamente, las personas ubican como última instancia para hacerse de información pública al mecanismo de solicitudes de información, que disminuyó de 0.7% en 2015 al 0.5% en 2019.</w:t>
      </w:r>
    </w:p>
    <w:p w14:paraId="748B83AA" w14:textId="77777777" w:rsidR="00E35B30" w:rsidRPr="00BA784D" w:rsidRDefault="0036612A">
      <w:pPr>
        <w:widowControl/>
        <w:spacing w:before="280" w:after="280" w:line="360" w:lineRule="auto"/>
        <w:jc w:val="both"/>
        <w:rPr>
          <w:rFonts w:ascii="Times New Roman" w:eastAsia="Times New Roman" w:hAnsi="Times New Roman" w:cs="Times New Roman"/>
          <w:b/>
          <w:i/>
          <w:sz w:val="24"/>
          <w:szCs w:val="24"/>
        </w:rPr>
      </w:pPr>
      <w:r w:rsidRPr="00BA784D">
        <w:rPr>
          <w:rFonts w:ascii="Times New Roman" w:eastAsia="Times New Roman" w:hAnsi="Times New Roman" w:cs="Times New Roman"/>
          <w:b/>
          <w:i/>
          <w:sz w:val="24"/>
          <w:szCs w:val="24"/>
        </w:rPr>
        <w:t>Objetivo Estratégico A.1 Articular desde el SNT de manera conjunta la promoción y difusión de la transparencia y el acceso a la información.</w:t>
      </w:r>
    </w:p>
    <w:p w14:paraId="27471203" w14:textId="77777777" w:rsidR="00E35B30" w:rsidRPr="00BA784D" w:rsidRDefault="0036612A">
      <w:pPr>
        <w:widowControl/>
        <w:spacing w:before="280" w:after="280"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Líneas de acción: Se desarrollan al interior de cada uno de los ejes temáticos con el indicador “Línea transversal de Promoción, Difusión y Fomento de la Cultura”.</w:t>
      </w:r>
    </w:p>
    <w:p w14:paraId="6C8ABD4D" w14:textId="659A233B"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1.1.6-A </w:t>
      </w:r>
      <w:r w:rsidRPr="00BA784D">
        <w:rPr>
          <w:rFonts w:ascii="Times New Roman" w:eastAsia="Times New Roman" w:hAnsi="Times New Roman" w:cs="Times New Roman"/>
          <w:b/>
          <w:sz w:val="24"/>
          <w:szCs w:val="24"/>
        </w:rPr>
        <w:t xml:space="preserve">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ransversal de Promoción, Difusión y Fomento de la Cultura.</w:t>
      </w:r>
      <w:r w:rsidRPr="00BA784D">
        <w:rPr>
          <w:rFonts w:ascii="Times New Roman" w:eastAsia="Times New Roman" w:hAnsi="Times New Roman" w:cs="Times New Roman"/>
          <w:sz w:val="24"/>
          <w:szCs w:val="24"/>
        </w:rPr>
        <w:t xml:space="preserve"> Generar, aprobar y difundir, de forma individual por integrante o en conjunto con las </w:t>
      </w:r>
      <w:r w:rsidRPr="00BA784D">
        <w:rPr>
          <w:rFonts w:ascii="Times New Roman" w:eastAsia="Times New Roman" w:hAnsi="Times New Roman" w:cs="Times New Roman"/>
          <w:sz w:val="24"/>
          <w:szCs w:val="24"/>
        </w:rPr>
        <w:lastRenderedPageBreak/>
        <w:t>comisiones del SNT correspondientes (Archivos y Gestión Documental y Capacitación, Educación y Cultura) y el AGN, productos y materiales de comunicación sobre la gestión documental y su impacto en el acceso a la información pública, ajustables por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 xml:space="preserve">s </w:t>
      </w:r>
      <w:r w:rsidR="00EC37B3" w:rsidRPr="00BA784D">
        <w:rPr>
          <w:rFonts w:ascii="Times New Roman" w:eastAsia="Times New Roman" w:hAnsi="Times New Roman" w:cs="Times New Roman"/>
          <w:sz w:val="24"/>
          <w:szCs w:val="24"/>
        </w:rPr>
        <w:t xml:space="preserve">instituciones </w:t>
      </w:r>
      <w:r w:rsidRPr="00BA784D">
        <w:rPr>
          <w:rFonts w:ascii="Times New Roman" w:eastAsia="Times New Roman" w:hAnsi="Times New Roman" w:cs="Times New Roman"/>
          <w:sz w:val="24"/>
          <w:szCs w:val="24"/>
        </w:rPr>
        <w:t>integrantes del SNT o sus sujetos obligados y considerando mecanismos de evaluación de su difusión, conforme a la línea de acción 2.1.7-A</w:t>
      </w:r>
      <w:r w:rsidR="00155324" w:rsidRPr="00BA784D">
        <w:rPr>
          <w:rFonts w:ascii="Times New Roman" w:eastAsia="Times New Roman" w:hAnsi="Times New Roman" w:cs="Times New Roman"/>
          <w:sz w:val="24"/>
          <w:szCs w:val="24"/>
        </w:rPr>
        <w:t xml:space="preserve"> (INAI, AGN, OGL)</w:t>
      </w:r>
      <w:r w:rsidRPr="00BA784D">
        <w:rPr>
          <w:rFonts w:ascii="Times New Roman" w:eastAsia="Times New Roman" w:hAnsi="Times New Roman" w:cs="Times New Roman"/>
          <w:sz w:val="24"/>
          <w:szCs w:val="24"/>
        </w:rPr>
        <w:t>.</w:t>
      </w:r>
    </w:p>
    <w:p w14:paraId="218D265D" w14:textId="77777777" w:rsidR="00E35B30" w:rsidRPr="00BA784D" w:rsidRDefault="00E35B30">
      <w:pPr>
        <w:widowControl/>
        <w:spacing w:line="360" w:lineRule="auto"/>
        <w:ind w:left="680" w:right="60"/>
        <w:jc w:val="both"/>
        <w:rPr>
          <w:rFonts w:ascii="Times New Roman" w:eastAsia="Times New Roman" w:hAnsi="Times New Roman" w:cs="Times New Roman"/>
          <w:sz w:val="24"/>
          <w:szCs w:val="24"/>
        </w:rPr>
      </w:pPr>
    </w:p>
    <w:p w14:paraId="3F058D22" w14:textId="5C14D4D4"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2.1.6-A </w:t>
      </w:r>
      <w:r w:rsidRPr="00BA784D">
        <w:rPr>
          <w:rFonts w:ascii="Times New Roman" w:eastAsia="Times New Roman" w:hAnsi="Times New Roman" w:cs="Times New Roman"/>
          <w:b/>
          <w:sz w:val="24"/>
          <w:szCs w:val="24"/>
        </w:rPr>
        <w:t xml:space="preserve">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 xml:space="preserve">ransversal de Promoción, Difusión y Fomento de la Cultura. </w:t>
      </w:r>
      <w:r w:rsidR="00B4124F" w:rsidRPr="00BA784D">
        <w:rPr>
          <w:rFonts w:ascii="Times New Roman" w:eastAsia="Times New Roman" w:hAnsi="Times New Roman" w:cs="Times New Roman"/>
          <w:sz w:val="24"/>
          <w:szCs w:val="24"/>
        </w:rPr>
        <w:t>Fortalecer acciones de los órganos garantes</w:t>
      </w:r>
      <w:r w:rsidR="00B4124F" w:rsidRPr="00BA784D">
        <w:rPr>
          <w:rFonts w:ascii="Times New Roman" w:eastAsia="Times New Roman" w:hAnsi="Times New Roman" w:cs="Times New Roman"/>
          <w:b/>
          <w:sz w:val="24"/>
          <w:szCs w:val="24"/>
        </w:rPr>
        <w:t xml:space="preserve"> </w:t>
      </w:r>
      <w:r w:rsidR="00B4124F" w:rsidRPr="00BA784D">
        <w:rPr>
          <w:rFonts w:ascii="Times New Roman" w:eastAsia="Times New Roman" w:hAnsi="Times New Roman" w:cs="Times New Roman"/>
          <w:sz w:val="24"/>
          <w:szCs w:val="24"/>
        </w:rPr>
        <w:t>para el diseño de políticas públicas de transparencia y acceso a la información con perspectiva de género, derechos humanos e inclusión, para con ello a</w:t>
      </w:r>
      <w:r w:rsidRPr="00BA784D">
        <w:rPr>
          <w:rFonts w:ascii="Times New Roman" w:eastAsia="Times New Roman" w:hAnsi="Times New Roman" w:cs="Times New Roman"/>
          <w:sz w:val="24"/>
          <w:szCs w:val="24"/>
        </w:rPr>
        <w:t xml:space="preserve">ctualizar y consolidar políticas y/o acciones del Plan DAI dirigidas a ampliar y diversificar el número de personas usuarias del derecho de acceso a la información; así como formar agentes multiplicadores del DAI en sectores especializados: sociedad civil, activistas, periodistas, académicos, divulgadores, </w:t>
      </w:r>
      <w:r w:rsidRPr="00BA784D">
        <w:rPr>
          <w:rFonts w:ascii="Times New Roman" w:eastAsia="Times New Roman" w:hAnsi="Times New Roman" w:cs="Times New Roman"/>
          <w:i/>
          <w:sz w:val="24"/>
          <w:szCs w:val="24"/>
        </w:rPr>
        <w:t>influencers</w:t>
      </w:r>
      <w:r w:rsidRPr="00BA784D">
        <w:rPr>
          <w:rFonts w:ascii="Times New Roman" w:eastAsia="Times New Roman" w:hAnsi="Times New Roman" w:cs="Times New Roman"/>
          <w:sz w:val="24"/>
          <w:szCs w:val="24"/>
        </w:rPr>
        <w:t>, organizaciones (sociales, asociaciones, confederaciones, empresarios), entre otros para aumentar sus beneficios sociales derivados</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530438E7" w14:textId="77777777" w:rsidR="00E35B30" w:rsidRPr="00BA784D" w:rsidRDefault="00E35B30">
      <w:pPr>
        <w:widowControl/>
        <w:spacing w:line="360" w:lineRule="auto"/>
        <w:ind w:left="680" w:right="60"/>
        <w:jc w:val="both"/>
        <w:rPr>
          <w:rFonts w:ascii="Times New Roman" w:eastAsia="Times New Roman" w:hAnsi="Times New Roman" w:cs="Times New Roman"/>
          <w:sz w:val="24"/>
          <w:szCs w:val="24"/>
        </w:rPr>
      </w:pPr>
    </w:p>
    <w:p w14:paraId="6407D0CE" w14:textId="2635B6DD"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2.1.7-A </w:t>
      </w:r>
      <w:r w:rsidRPr="00BA784D">
        <w:rPr>
          <w:rFonts w:ascii="Times New Roman" w:eastAsia="Times New Roman" w:hAnsi="Times New Roman" w:cs="Times New Roman"/>
          <w:b/>
          <w:sz w:val="24"/>
          <w:szCs w:val="24"/>
        </w:rPr>
        <w:t xml:space="preserve">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 xml:space="preserve">ransversal de Promoción, Difusión y Fomento de la Cultura. </w:t>
      </w:r>
      <w:r w:rsidRPr="00BA784D">
        <w:rPr>
          <w:rFonts w:ascii="Times New Roman" w:eastAsia="Times New Roman" w:hAnsi="Times New Roman" w:cs="Times New Roman"/>
          <w:sz w:val="24"/>
          <w:szCs w:val="24"/>
        </w:rPr>
        <w:t>Generar y difundir, de forma individual por integrante o en coordinación con las comisiones del SNT de Vinculación, Promoción, Difusión y Comunicación Social y la de Derechos Humanos, Equidad de Género e Inclusión Social, productos (revista, folletos, historietas, etc.), materiales (infografías, videos, textos, etc.) y herramientas (redes sociales, canales de video, portal SNT, etc.) de comunicación que incorporen los principios de igualdad y no discriminación sobre el acceso a la información pública y la transparencia en sus diferentes aspectos, ajustables por cada integrante del SNT y los sujetos obligados; considerando el diseño y establecimiento de mecanismos de monitoreo, seguimiento y evaluación para las acciones de promoción y difusión emprendidas desde el SNT</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1AE25557" w14:textId="77777777" w:rsidR="00E35B30" w:rsidRPr="00BA784D" w:rsidRDefault="0036612A">
      <w:pPr>
        <w:widowControl/>
        <w:spacing w:line="360" w:lineRule="auto"/>
        <w:ind w:left="680" w:right="60"/>
        <w:jc w:val="both"/>
        <w:rPr>
          <w:rFonts w:ascii="Times New Roman" w:eastAsia="Times New Roman" w:hAnsi="Times New Roman" w:cs="Times New Roman"/>
          <w:i/>
          <w:sz w:val="24"/>
          <w:szCs w:val="24"/>
        </w:rPr>
      </w:pPr>
      <w:r w:rsidRPr="00BA784D">
        <w:rPr>
          <w:rFonts w:ascii="Times New Roman" w:eastAsia="Times New Roman" w:hAnsi="Times New Roman" w:cs="Times New Roman"/>
          <w:i/>
          <w:sz w:val="24"/>
          <w:szCs w:val="24"/>
        </w:rPr>
        <w:t xml:space="preserve"> </w:t>
      </w:r>
      <w:r w:rsidRPr="00BA784D">
        <w:rPr>
          <w:rFonts w:ascii="Times New Roman" w:eastAsia="Times New Roman" w:hAnsi="Times New Roman" w:cs="Times New Roman"/>
          <w:i/>
          <w:sz w:val="24"/>
          <w:szCs w:val="24"/>
        </w:rPr>
        <w:tab/>
        <w:t xml:space="preserve">Esta línea de acción se replica en materia de Archivos (1.1.6-A), Estado Abierto (3.1.4-A), Gobierno Digital (3.2.6-A), Transparencia Proactiva (3.3.8-A), </w:t>
      </w:r>
      <w:r w:rsidRPr="00BA784D">
        <w:rPr>
          <w:rFonts w:ascii="Times New Roman" w:eastAsia="Times New Roman" w:hAnsi="Times New Roman" w:cs="Times New Roman"/>
          <w:i/>
          <w:sz w:val="24"/>
          <w:szCs w:val="24"/>
        </w:rPr>
        <w:lastRenderedPageBreak/>
        <w:t>uso del SIPOT (3.4.1-A), Datos Abiertos (3.5.8-A), Anticorrupción (4.1.13-A) y resoluciones de recursos de revisión socialmente relevantes (5.1.10-A).</w:t>
      </w:r>
    </w:p>
    <w:p w14:paraId="77F0B0A9" w14:textId="77777777" w:rsidR="00E35B30" w:rsidRPr="00BA784D" w:rsidRDefault="00E35B30">
      <w:pPr>
        <w:widowControl/>
        <w:spacing w:line="360" w:lineRule="auto"/>
        <w:ind w:left="680" w:right="60"/>
        <w:jc w:val="both"/>
        <w:rPr>
          <w:rFonts w:ascii="Times New Roman" w:eastAsia="Times New Roman" w:hAnsi="Times New Roman" w:cs="Times New Roman"/>
          <w:sz w:val="24"/>
          <w:szCs w:val="24"/>
        </w:rPr>
      </w:pPr>
    </w:p>
    <w:p w14:paraId="67B63D3A" w14:textId="3B028AA1"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3.1.4-A </w:t>
      </w:r>
      <w:r w:rsidRPr="00BA784D">
        <w:rPr>
          <w:rFonts w:ascii="Times New Roman" w:eastAsia="Times New Roman" w:hAnsi="Times New Roman" w:cs="Times New Roman"/>
          <w:b/>
          <w:sz w:val="24"/>
          <w:szCs w:val="24"/>
        </w:rPr>
        <w:t xml:space="preserve">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 xml:space="preserve">ransversal de Promoción, Difusión y Fomento de la Cultura. </w:t>
      </w:r>
      <w:r w:rsidRPr="00BA784D">
        <w:rPr>
          <w:rFonts w:ascii="Times New Roman" w:eastAsia="Times New Roman" w:hAnsi="Times New Roman" w:cs="Times New Roman"/>
          <w:sz w:val="24"/>
          <w:szCs w:val="24"/>
        </w:rPr>
        <w:t>Generar y difundir, de forma individual por integrante o en colaboración con las comisiones del SNT correspondientes, productos y materiales de comunicación sobre el Estado Abierto y su impacto en el acceso a la información pública ajustables por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o sus sujetos obligados y considerando mecanismos </w:t>
      </w:r>
      <w:r w:rsidR="00AA4DD3" w:rsidRPr="00BA784D">
        <w:rPr>
          <w:rFonts w:ascii="Times New Roman" w:eastAsia="Times New Roman" w:hAnsi="Times New Roman" w:cs="Times New Roman"/>
          <w:sz w:val="24"/>
          <w:szCs w:val="24"/>
        </w:rPr>
        <w:t xml:space="preserve">de </w:t>
      </w:r>
      <w:r w:rsidRPr="00BA784D">
        <w:rPr>
          <w:rFonts w:ascii="Times New Roman" w:eastAsia="Times New Roman" w:hAnsi="Times New Roman" w:cs="Times New Roman"/>
          <w:sz w:val="24"/>
          <w:szCs w:val="24"/>
        </w:rPr>
        <w:t>evaluación a su difusión, conforme a la línea de acción 2.1.7-A</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5557C165" w14:textId="77777777" w:rsidR="00E35B30" w:rsidRPr="00BA784D" w:rsidRDefault="00E35B30">
      <w:pPr>
        <w:widowControl/>
        <w:spacing w:line="360" w:lineRule="auto"/>
        <w:ind w:left="680" w:right="60"/>
        <w:jc w:val="both"/>
        <w:rPr>
          <w:rFonts w:ascii="Times New Roman" w:eastAsia="Times New Roman" w:hAnsi="Times New Roman" w:cs="Times New Roman"/>
          <w:sz w:val="24"/>
          <w:szCs w:val="24"/>
        </w:rPr>
      </w:pPr>
    </w:p>
    <w:p w14:paraId="22A32C0A" w14:textId="21450004"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3.2.6-A</w:t>
      </w:r>
      <w:r w:rsidRPr="00BA784D">
        <w:rPr>
          <w:rFonts w:ascii="Times New Roman" w:eastAsia="Times New Roman" w:hAnsi="Times New Roman" w:cs="Times New Roman"/>
          <w:b/>
          <w:sz w:val="24"/>
          <w:szCs w:val="24"/>
        </w:rPr>
        <w:t xml:space="preserve"> 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 xml:space="preserve">ransversal de Promoción, Difusión y Fomento de la Cultura. </w:t>
      </w:r>
      <w:r w:rsidRPr="00BA784D">
        <w:rPr>
          <w:rFonts w:ascii="Times New Roman" w:eastAsia="Times New Roman" w:hAnsi="Times New Roman" w:cs="Times New Roman"/>
          <w:sz w:val="24"/>
          <w:szCs w:val="24"/>
        </w:rPr>
        <w:t>Diseñar y difundir, de forma individual por integrante o en colaboración con las comisiones del SNT correspondientes, productos y materiales de comunicación sobre los mecanismos para el ejercicio del DAI, así como los productos informativos (micrositios, estadísticas, información focalizada), cursos y asesorías que ofrecen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con el fin de explicarle a los personas en situación de vulnerabilidad la utilidad de la PNT y otras herramientas digitales, así como los beneficios que se podrían generar en su vida con el acceso a la información. Considerando mecanismos de evaluación a su difusión, conforme a la línea de acción 2.1.7-A</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68DD4822" w14:textId="77777777" w:rsidR="00E35B30" w:rsidRPr="00BA784D" w:rsidRDefault="00E35B30">
      <w:pPr>
        <w:widowControl/>
        <w:spacing w:line="360" w:lineRule="auto"/>
        <w:ind w:left="680" w:right="60"/>
        <w:jc w:val="both"/>
        <w:rPr>
          <w:rFonts w:ascii="Times New Roman" w:eastAsia="Times New Roman" w:hAnsi="Times New Roman" w:cs="Times New Roman"/>
          <w:sz w:val="24"/>
          <w:szCs w:val="24"/>
        </w:rPr>
      </w:pPr>
    </w:p>
    <w:p w14:paraId="0C252BA7" w14:textId="79D3089C"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3.3.8-A</w:t>
      </w:r>
      <w:r w:rsidRPr="00BA784D">
        <w:rPr>
          <w:rFonts w:ascii="Times New Roman" w:eastAsia="Times New Roman" w:hAnsi="Times New Roman" w:cs="Times New Roman"/>
          <w:b/>
          <w:sz w:val="24"/>
          <w:szCs w:val="24"/>
        </w:rPr>
        <w:t xml:space="preserve"> 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ransversal de Promoción, Difusión y Fomento de la Cultura.</w:t>
      </w:r>
      <w:r w:rsidRPr="00BA784D">
        <w:rPr>
          <w:rFonts w:ascii="Times New Roman" w:eastAsia="Times New Roman" w:hAnsi="Times New Roman" w:cs="Times New Roman"/>
          <w:sz w:val="24"/>
          <w:szCs w:val="24"/>
        </w:rPr>
        <w:t xml:space="preserve"> Generar y difundir, de forma individual por integrante o en colaboración con las comisiones del SNT correspondientes, productos y materiales de comunicación sobre Transparencia Proactiva y su impacto en el acceso a la información pública ajustables por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o sus sujetos obligados y considerando mecanismos </w:t>
      </w:r>
      <w:r w:rsidR="0073046E" w:rsidRPr="00BA784D">
        <w:rPr>
          <w:rFonts w:ascii="Times New Roman" w:eastAsia="Times New Roman" w:hAnsi="Times New Roman" w:cs="Times New Roman"/>
          <w:sz w:val="24"/>
          <w:szCs w:val="24"/>
        </w:rPr>
        <w:t xml:space="preserve">de </w:t>
      </w:r>
      <w:r w:rsidRPr="00BA784D">
        <w:rPr>
          <w:rFonts w:ascii="Times New Roman" w:eastAsia="Times New Roman" w:hAnsi="Times New Roman" w:cs="Times New Roman"/>
          <w:sz w:val="24"/>
          <w:szCs w:val="24"/>
        </w:rPr>
        <w:t>evaluación a su difusión, conforme a la línea de acción 2.1.7-A</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09085D58" w14:textId="77777777" w:rsidR="00E35B30" w:rsidRPr="00BA784D" w:rsidRDefault="00E35B30">
      <w:pPr>
        <w:widowControl/>
        <w:spacing w:line="360" w:lineRule="auto"/>
        <w:ind w:left="680" w:right="60"/>
        <w:jc w:val="both"/>
        <w:rPr>
          <w:rFonts w:ascii="Times New Roman" w:eastAsia="Times New Roman" w:hAnsi="Times New Roman" w:cs="Times New Roman"/>
          <w:sz w:val="24"/>
          <w:szCs w:val="24"/>
        </w:rPr>
      </w:pPr>
    </w:p>
    <w:p w14:paraId="20F1AAE0" w14:textId="49D40466"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3.4.1-A</w:t>
      </w:r>
      <w:r w:rsidRPr="00BA784D">
        <w:rPr>
          <w:rFonts w:ascii="Times New Roman" w:eastAsia="Times New Roman" w:hAnsi="Times New Roman" w:cs="Times New Roman"/>
          <w:b/>
          <w:sz w:val="24"/>
          <w:szCs w:val="24"/>
        </w:rPr>
        <w:t xml:space="preserve"> 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ransversal de Promoción, Difusión y Fomento de la Cultura.</w:t>
      </w:r>
      <w:r w:rsidRPr="00BA784D">
        <w:rPr>
          <w:rFonts w:ascii="Times New Roman" w:eastAsia="Times New Roman" w:hAnsi="Times New Roman" w:cs="Times New Roman"/>
          <w:sz w:val="24"/>
          <w:szCs w:val="24"/>
        </w:rPr>
        <w:t xml:space="preserve"> Actualizar y difundir, de forma individual por integrante o en colaboración con las comisiones del SNT correspondientes, los productos y materiales de comunicación existentes sobre el uso del SIPOT, sus buscadores y su relevancia en el acceso a la información pública, así como hacerlos ajustables por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 xml:space="preserve">s </w:t>
      </w:r>
      <w:r w:rsidR="00EC37B3" w:rsidRPr="00BA784D">
        <w:rPr>
          <w:rFonts w:ascii="Times New Roman" w:eastAsia="Times New Roman" w:hAnsi="Times New Roman" w:cs="Times New Roman"/>
          <w:sz w:val="24"/>
          <w:szCs w:val="24"/>
        </w:rPr>
        <w:t xml:space="preserve">instituciones </w:t>
      </w:r>
      <w:r w:rsidRPr="00BA784D">
        <w:rPr>
          <w:rFonts w:ascii="Times New Roman" w:eastAsia="Times New Roman" w:hAnsi="Times New Roman" w:cs="Times New Roman"/>
          <w:sz w:val="24"/>
          <w:szCs w:val="24"/>
        </w:rPr>
        <w:t xml:space="preserve">integrantes del SNT o sus sujetos obligados y considerando mecanismos </w:t>
      </w:r>
      <w:r w:rsidR="0073046E" w:rsidRPr="00BA784D">
        <w:rPr>
          <w:rFonts w:ascii="Times New Roman" w:eastAsia="Times New Roman" w:hAnsi="Times New Roman" w:cs="Times New Roman"/>
          <w:sz w:val="24"/>
          <w:szCs w:val="24"/>
        </w:rPr>
        <w:t xml:space="preserve">de </w:t>
      </w:r>
      <w:r w:rsidRPr="00BA784D">
        <w:rPr>
          <w:rFonts w:ascii="Times New Roman" w:eastAsia="Times New Roman" w:hAnsi="Times New Roman" w:cs="Times New Roman"/>
          <w:sz w:val="24"/>
          <w:szCs w:val="24"/>
        </w:rPr>
        <w:t>evaluación a su difusión, conforme a la línea de acción 2.1.7-A</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723505CD" w14:textId="77777777" w:rsidR="00E35B30" w:rsidRPr="00BA784D" w:rsidRDefault="00E35B30">
      <w:pPr>
        <w:widowControl/>
        <w:spacing w:line="360" w:lineRule="auto"/>
        <w:ind w:left="680" w:right="60"/>
        <w:jc w:val="both"/>
        <w:rPr>
          <w:rFonts w:ascii="Times New Roman" w:eastAsia="Times New Roman" w:hAnsi="Times New Roman" w:cs="Times New Roman"/>
          <w:sz w:val="24"/>
          <w:szCs w:val="24"/>
        </w:rPr>
      </w:pPr>
    </w:p>
    <w:p w14:paraId="772C6CAD" w14:textId="03DC52F9" w:rsidR="00E35B30" w:rsidRPr="00BA784D" w:rsidRDefault="0036612A">
      <w:pPr>
        <w:widowControl/>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3.5.8-A </w:t>
      </w:r>
      <w:r w:rsidRPr="00BA784D">
        <w:rPr>
          <w:rFonts w:ascii="Times New Roman" w:eastAsia="Times New Roman" w:hAnsi="Times New Roman" w:cs="Times New Roman"/>
          <w:b/>
          <w:sz w:val="24"/>
          <w:szCs w:val="24"/>
        </w:rPr>
        <w:t xml:space="preserve">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ransversal de Promoción, Difusión y Fomento de la Cultura.</w:t>
      </w:r>
      <w:r w:rsidR="00593A29" w:rsidRPr="00BA784D">
        <w:rPr>
          <w:rFonts w:ascii="Times New Roman" w:eastAsia="Times New Roman" w:hAnsi="Times New Roman" w:cs="Times New Roman"/>
          <w:b/>
          <w:sz w:val="24"/>
          <w:szCs w:val="24"/>
        </w:rPr>
        <w:t xml:space="preserve"> </w:t>
      </w:r>
      <w:r w:rsidRPr="00BA784D">
        <w:rPr>
          <w:rFonts w:ascii="Times New Roman" w:eastAsia="Times New Roman" w:hAnsi="Times New Roman" w:cs="Times New Roman"/>
          <w:sz w:val="24"/>
          <w:szCs w:val="24"/>
        </w:rPr>
        <w:t>Generar y difundir, de forma individual por integrante o en colaboración con las comisiones del SNT correspondientes, productos y materiales de comunicación sobre Datos Abiertos y su impacto en el acceso a la información pública ajustables por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 xml:space="preserve">s </w:t>
      </w:r>
      <w:r w:rsidR="00EC37B3" w:rsidRPr="00BA784D">
        <w:rPr>
          <w:rFonts w:ascii="Times New Roman" w:eastAsia="Times New Roman" w:hAnsi="Times New Roman" w:cs="Times New Roman"/>
          <w:sz w:val="24"/>
          <w:szCs w:val="24"/>
        </w:rPr>
        <w:t xml:space="preserve">instituciones </w:t>
      </w:r>
      <w:r w:rsidRPr="00BA784D">
        <w:rPr>
          <w:rFonts w:ascii="Times New Roman" w:eastAsia="Times New Roman" w:hAnsi="Times New Roman" w:cs="Times New Roman"/>
          <w:sz w:val="24"/>
          <w:szCs w:val="24"/>
        </w:rPr>
        <w:t>integrantes del SNT o sus sujetos obligados y considerando mecanismos evaluación a su difusión, conforme a la línea de acción 2.1.7-A</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7E521591" w14:textId="77777777" w:rsidR="00E35B30" w:rsidRPr="00BA784D" w:rsidRDefault="00E35B30">
      <w:pPr>
        <w:widowControl/>
        <w:spacing w:line="360" w:lineRule="auto"/>
        <w:ind w:left="720" w:hanging="720"/>
        <w:jc w:val="both"/>
        <w:rPr>
          <w:rFonts w:ascii="Times New Roman" w:eastAsia="Times New Roman" w:hAnsi="Times New Roman" w:cs="Times New Roman"/>
          <w:sz w:val="24"/>
          <w:szCs w:val="24"/>
        </w:rPr>
      </w:pPr>
    </w:p>
    <w:p w14:paraId="2E124B18" w14:textId="305A2F1E"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4.1.2-A </w:t>
      </w:r>
      <w:r w:rsidRPr="00BA784D">
        <w:rPr>
          <w:rFonts w:ascii="Times New Roman" w:eastAsia="Times New Roman" w:hAnsi="Times New Roman" w:cs="Times New Roman"/>
          <w:b/>
          <w:sz w:val="24"/>
          <w:szCs w:val="24"/>
        </w:rPr>
        <w:t xml:space="preserve">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 xml:space="preserve">ransversal de Promoción, Difusión y Fomento de la Cultura. </w:t>
      </w:r>
      <w:r w:rsidRPr="00BA784D">
        <w:rPr>
          <w:rFonts w:ascii="Times New Roman" w:eastAsia="Times New Roman" w:hAnsi="Times New Roman" w:cs="Times New Roman"/>
          <w:sz w:val="24"/>
          <w:szCs w:val="24"/>
        </w:rPr>
        <w:t>Establecer</w:t>
      </w:r>
      <w:r w:rsidR="00131542" w:rsidRPr="00BA784D">
        <w:rPr>
          <w:rFonts w:ascii="Times New Roman" w:eastAsia="Times New Roman" w:hAnsi="Times New Roman" w:cs="Times New Roman"/>
          <w:sz w:val="24"/>
          <w:szCs w:val="24"/>
        </w:rPr>
        <w:t xml:space="preserve">, por parte de la Comisión de Vinculación, Promoción, Difusión y Comunicación Social del SNT, </w:t>
      </w:r>
      <w:r w:rsidRPr="00BA784D">
        <w:rPr>
          <w:rFonts w:ascii="Times New Roman" w:eastAsia="Times New Roman" w:hAnsi="Times New Roman" w:cs="Times New Roman"/>
          <w:sz w:val="24"/>
          <w:szCs w:val="24"/>
        </w:rPr>
        <w:t xml:space="preserve">una estrategia de difusión nacional, en redes sociales, sobre el vínculo entre el ejercicio del Derecho de Acceso a la Información con la fiscalización, rendición de cuentas y la identificación y denuncia de actos de corrupción; </w:t>
      </w:r>
      <w:r w:rsidR="00155324" w:rsidRPr="00BA784D">
        <w:rPr>
          <w:rFonts w:ascii="Times New Roman" w:eastAsia="Times New Roman" w:hAnsi="Times New Roman" w:cs="Times New Roman"/>
          <w:sz w:val="24"/>
          <w:szCs w:val="24"/>
        </w:rPr>
        <w:t>INAI, ASF, OGL)</w:t>
      </w:r>
      <w:r w:rsidRPr="00BA784D">
        <w:rPr>
          <w:rFonts w:ascii="Times New Roman" w:eastAsia="Times New Roman" w:hAnsi="Times New Roman" w:cs="Times New Roman"/>
          <w:sz w:val="24"/>
          <w:szCs w:val="24"/>
        </w:rPr>
        <w:t>.</w:t>
      </w:r>
    </w:p>
    <w:p w14:paraId="0ED7B575" w14:textId="77777777" w:rsidR="00E35B30" w:rsidRPr="00BA784D" w:rsidRDefault="00E35B30">
      <w:pPr>
        <w:widowControl/>
        <w:spacing w:line="360" w:lineRule="auto"/>
        <w:ind w:left="680" w:right="60"/>
        <w:jc w:val="both"/>
        <w:rPr>
          <w:rFonts w:ascii="Times New Roman" w:eastAsia="Times New Roman" w:hAnsi="Times New Roman" w:cs="Times New Roman"/>
          <w:sz w:val="24"/>
          <w:szCs w:val="24"/>
        </w:rPr>
      </w:pPr>
    </w:p>
    <w:p w14:paraId="045905E6" w14:textId="797F60C3"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4.1.13-A </w:t>
      </w:r>
      <w:r w:rsidRPr="00BA784D">
        <w:rPr>
          <w:rFonts w:ascii="Times New Roman" w:eastAsia="Times New Roman" w:hAnsi="Times New Roman" w:cs="Times New Roman"/>
          <w:b/>
          <w:sz w:val="24"/>
          <w:szCs w:val="24"/>
        </w:rPr>
        <w:t xml:space="preserve">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 xml:space="preserve">ransversal de Promoción, Difusión y Fomento de la Cultura. </w:t>
      </w:r>
      <w:r w:rsidRPr="00BA784D">
        <w:rPr>
          <w:rFonts w:ascii="Times New Roman" w:eastAsia="Times New Roman" w:hAnsi="Times New Roman" w:cs="Times New Roman"/>
          <w:sz w:val="24"/>
          <w:szCs w:val="24"/>
        </w:rPr>
        <w:t xml:space="preserve">Generar y difundir, de forma individual por integrante o en colaboración con las comisiones del SNT de Rendición de Cuentas y Combate a la Corrupción y la de Capacitación, Educación y Cultura, los productos y materiales de comunicación existentes en materia de combate a la corrupción en su vinculación con la transparencia y el acceso a la información, </w:t>
      </w:r>
      <w:r w:rsidR="00B7291A" w:rsidRPr="00BA784D">
        <w:rPr>
          <w:rFonts w:ascii="Times New Roman" w:eastAsia="Times New Roman" w:hAnsi="Times New Roman" w:cs="Times New Roman"/>
          <w:sz w:val="24"/>
          <w:szCs w:val="24"/>
        </w:rPr>
        <w:t>h</w:t>
      </w:r>
      <w:r w:rsidRPr="00BA784D">
        <w:rPr>
          <w:rFonts w:ascii="Times New Roman" w:eastAsia="Times New Roman" w:hAnsi="Times New Roman" w:cs="Times New Roman"/>
          <w:sz w:val="24"/>
          <w:szCs w:val="24"/>
        </w:rPr>
        <w:t>aciendo dichos materiales ajustables por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o sus sujetos obligados. Considerar los mecanismos de evaluación a su difusión, conforme a la línea de acción 2.1.7-A</w:t>
      </w:r>
      <w:r w:rsidR="00155324" w:rsidRPr="00BA784D">
        <w:rPr>
          <w:rFonts w:ascii="Times New Roman" w:eastAsia="Times New Roman" w:hAnsi="Times New Roman" w:cs="Times New Roman"/>
          <w:sz w:val="24"/>
          <w:szCs w:val="24"/>
        </w:rPr>
        <w:t xml:space="preserve"> (INAI, ASF, OGL)</w:t>
      </w:r>
      <w:r w:rsidRPr="00BA784D">
        <w:rPr>
          <w:rFonts w:ascii="Times New Roman" w:eastAsia="Times New Roman" w:hAnsi="Times New Roman" w:cs="Times New Roman"/>
          <w:sz w:val="24"/>
          <w:szCs w:val="24"/>
        </w:rPr>
        <w:t>.</w:t>
      </w:r>
    </w:p>
    <w:p w14:paraId="66440B77" w14:textId="77777777" w:rsidR="00E35B30" w:rsidRPr="00BA784D" w:rsidRDefault="00E35B30">
      <w:pPr>
        <w:widowControl/>
        <w:spacing w:line="360" w:lineRule="auto"/>
        <w:ind w:left="680" w:right="60"/>
        <w:jc w:val="both"/>
        <w:rPr>
          <w:rFonts w:ascii="Times New Roman" w:eastAsia="Times New Roman" w:hAnsi="Times New Roman" w:cs="Times New Roman"/>
          <w:sz w:val="24"/>
          <w:szCs w:val="24"/>
        </w:rPr>
      </w:pPr>
    </w:p>
    <w:p w14:paraId="5B78B5F0" w14:textId="232F5892"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5.1.9-A </w:t>
      </w:r>
      <w:r w:rsidRPr="00BA784D">
        <w:rPr>
          <w:rFonts w:ascii="Times New Roman" w:eastAsia="Times New Roman" w:hAnsi="Times New Roman" w:cs="Times New Roman"/>
          <w:b/>
          <w:sz w:val="24"/>
          <w:szCs w:val="24"/>
        </w:rPr>
        <w:t xml:space="preserve">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 xml:space="preserve">ransversal de Promoción, Difusión y Fomento de la Cultura: </w:t>
      </w:r>
      <w:r w:rsidRPr="00BA784D">
        <w:rPr>
          <w:rFonts w:ascii="Times New Roman" w:eastAsia="Times New Roman" w:hAnsi="Times New Roman" w:cs="Times New Roman"/>
          <w:sz w:val="24"/>
          <w:szCs w:val="24"/>
        </w:rPr>
        <w:t>Identificar y divulgar resoluciones a recursos de revisión y su cumplimiento, solicitudes de información y sus respuestas, acciones de inconstitucionalidad o controversias constitucionales (tanto demandas como resoluciones) socialmente relevantes y su cumplimiento como prueba de la efectividad del DAI</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40E88CA2" w14:textId="77777777" w:rsidR="00E35B30" w:rsidRPr="00BA784D" w:rsidRDefault="00E35B30">
      <w:pPr>
        <w:widowControl/>
        <w:spacing w:line="360" w:lineRule="auto"/>
        <w:ind w:left="680" w:right="60"/>
        <w:jc w:val="both"/>
        <w:rPr>
          <w:rFonts w:ascii="Times New Roman" w:eastAsia="Times New Roman" w:hAnsi="Times New Roman" w:cs="Times New Roman"/>
          <w:sz w:val="24"/>
          <w:szCs w:val="24"/>
        </w:rPr>
      </w:pPr>
    </w:p>
    <w:p w14:paraId="3467F187" w14:textId="5A0AD93B" w:rsidR="00E35B30" w:rsidRPr="00BA784D" w:rsidRDefault="0036612A">
      <w:pPr>
        <w:widowControl/>
        <w:spacing w:line="360" w:lineRule="auto"/>
        <w:ind w:left="680" w:right="51"/>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5.1.10-A Línea </w:t>
      </w:r>
      <w:r w:rsidR="009E6923" w:rsidRPr="00BA784D">
        <w:rPr>
          <w:rFonts w:ascii="Times New Roman" w:eastAsia="Times New Roman" w:hAnsi="Times New Roman" w:cs="Times New Roman"/>
          <w:b/>
          <w:sz w:val="24"/>
          <w:szCs w:val="24"/>
        </w:rPr>
        <w:t>T</w:t>
      </w:r>
      <w:r w:rsidRPr="00BA784D">
        <w:rPr>
          <w:rFonts w:ascii="Times New Roman" w:eastAsia="Times New Roman" w:hAnsi="Times New Roman" w:cs="Times New Roman"/>
          <w:b/>
          <w:sz w:val="24"/>
          <w:szCs w:val="24"/>
        </w:rPr>
        <w:t xml:space="preserve">ransversal de Promoción, Difusión y Fomento de la Cultura. </w:t>
      </w:r>
      <w:r w:rsidRPr="00BA784D">
        <w:rPr>
          <w:rFonts w:ascii="Times New Roman" w:eastAsia="Times New Roman" w:hAnsi="Times New Roman" w:cs="Times New Roman"/>
          <w:sz w:val="24"/>
          <w:szCs w:val="24"/>
        </w:rPr>
        <w:t>Generar y difundir, de forma individual por integrante o en colaboración con las comisiones del SNT correspondientes</w:t>
      </w:r>
      <w:r w:rsidRPr="00BA784D">
        <w:rPr>
          <w:rFonts w:ascii="Times New Roman" w:eastAsia="Times New Roman" w:hAnsi="Times New Roman" w:cs="Times New Roman"/>
          <w:sz w:val="24"/>
          <w:szCs w:val="24"/>
          <w:vertAlign w:val="superscript"/>
        </w:rPr>
        <w:footnoteReference w:id="26"/>
      </w:r>
      <w:r w:rsidRPr="00BA784D">
        <w:rPr>
          <w:rFonts w:ascii="Times New Roman" w:eastAsia="Times New Roman" w:hAnsi="Times New Roman" w:cs="Times New Roman"/>
          <w:sz w:val="24"/>
          <w:szCs w:val="24"/>
        </w:rPr>
        <w:t>, productos y materiales de comunicación, que incorporen los principios de igualdad y no discriminación, sobre las resoluciones de los recursos de revisión socialmente relevantes y su cumplimiento, ajustables por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o sus sujetos obligados y considerando mecanismos </w:t>
      </w:r>
      <w:r w:rsidR="00602130" w:rsidRPr="00BA784D">
        <w:rPr>
          <w:rFonts w:ascii="Times New Roman" w:eastAsia="Times New Roman" w:hAnsi="Times New Roman" w:cs="Times New Roman"/>
          <w:sz w:val="24"/>
          <w:szCs w:val="24"/>
        </w:rPr>
        <w:t xml:space="preserve">de </w:t>
      </w:r>
      <w:r w:rsidRPr="00BA784D">
        <w:rPr>
          <w:rFonts w:ascii="Times New Roman" w:eastAsia="Times New Roman" w:hAnsi="Times New Roman" w:cs="Times New Roman"/>
          <w:sz w:val="24"/>
          <w:szCs w:val="24"/>
        </w:rPr>
        <w:t>evaluación, conforme a la línea de acción 2.1.7-A</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12A9973F" w14:textId="77777777" w:rsidR="00E35B30" w:rsidRPr="00BA784D" w:rsidRDefault="00E35B30">
      <w:pPr>
        <w:widowControl/>
        <w:spacing w:before="280" w:after="280" w:line="360" w:lineRule="auto"/>
        <w:jc w:val="both"/>
        <w:rPr>
          <w:rFonts w:ascii="Times New Roman" w:eastAsia="Times New Roman" w:hAnsi="Times New Roman" w:cs="Times New Roman"/>
          <w:b/>
          <w:sz w:val="24"/>
          <w:szCs w:val="24"/>
        </w:rPr>
      </w:pPr>
    </w:p>
    <w:p w14:paraId="0F1BFF24" w14:textId="779B755A" w:rsidR="00E35B30" w:rsidRPr="00BA784D" w:rsidRDefault="0036612A">
      <w:pPr>
        <w:widowControl/>
        <w:spacing w:before="280" w:after="280" w:line="360" w:lineRule="auto"/>
        <w:jc w:val="both"/>
        <w:rPr>
          <w:rFonts w:ascii="Times New Roman" w:eastAsia="Times New Roman" w:hAnsi="Times New Roman" w:cs="Times New Roman"/>
          <w:b/>
          <w:i/>
          <w:sz w:val="24"/>
          <w:szCs w:val="24"/>
        </w:rPr>
      </w:pPr>
      <w:r w:rsidRPr="00BA784D">
        <w:rPr>
          <w:rFonts w:ascii="Times New Roman" w:eastAsia="Times New Roman" w:hAnsi="Times New Roman" w:cs="Times New Roman"/>
          <w:b/>
          <w:sz w:val="24"/>
          <w:szCs w:val="24"/>
        </w:rPr>
        <w:t>Estrategias:</w:t>
      </w:r>
      <w:r w:rsidRPr="00BA784D">
        <w:rPr>
          <w:rFonts w:ascii="Times New Roman" w:eastAsia="Times New Roman" w:hAnsi="Times New Roman" w:cs="Times New Roman"/>
          <w:sz w:val="24"/>
          <w:szCs w:val="24"/>
        </w:rPr>
        <w:t xml:space="preserve"> Socialización / Coordinación / Capacitación / PNT y TIC</w:t>
      </w:r>
      <w:r w:rsidR="00A75300">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s / Mejora Regulatoria / Inclusión / Comunicación</w:t>
      </w:r>
      <w:r w:rsidRPr="00BA784D">
        <w:rPr>
          <w:rFonts w:ascii="Times New Roman" w:eastAsia="Times New Roman" w:hAnsi="Times New Roman" w:cs="Times New Roman"/>
          <w:b/>
          <w:i/>
          <w:sz w:val="24"/>
          <w:szCs w:val="24"/>
        </w:rPr>
        <w:t xml:space="preserve"> </w:t>
      </w:r>
    </w:p>
    <w:p w14:paraId="4017C4D8" w14:textId="44F268DF" w:rsidR="00E35B30" w:rsidRPr="00BA784D" w:rsidRDefault="0036612A">
      <w:pPr>
        <w:widowControl/>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Indicador de Resultado: </w:t>
      </w:r>
      <w:r w:rsidR="00C35042" w:rsidRPr="00BA784D">
        <w:rPr>
          <w:rFonts w:ascii="Times New Roman" w:eastAsia="Times New Roman" w:hAnsi="Times New Roman" w:cs="Times New Roman"/>
          <w:sz w:val="24"/>
          <w:szCs w:val="24"/>
        </w:rPr>
        <w:t>Promedio de acciones reportadas en el CNTAIPPDP por los Organismos Garantes como realizadas en materia de promoción y difusión del DAI.</w:t>
      </w:r>
    </w:p>
    <w:p w14:paraId="6AE77838" w14:textId="22AE03DD" w:rsidR="00E35B30" w:rsidRPr="00BA784D" w:rsidRDefault="0036612A">
      <w:pPr>
        <w:widowControl/>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Este indicador busca medir la diversidad en la realización de actividades y acciones, por parte de los Organismos Garantes, dirigidas al público para promover el derecho de acceso a la información a partir de listados de acciones establecidos en los reactivos del CNTAI</w:t>
      </w:r>
      <w:r w:rsidR="000A0337" w:rsidRPr="00BA784D">
        <w:rPr>
          <w:rFonts w:ascii="Times New Roman" w:eastAsia="Times New Roman" w:hAnsi="Times New Roman" w:cs="Times New Roman"/>
          <w:sz w:val="24"/>
          <w:szCs w:val="24"/>
        </w:rPr>
        <w:t>PPDP</w:t>
      </w:r>
      <w:r w:rsidRPr="00BA784D">
        <w:rPr>
          <w:rFonts w:ascii="Times New Roman" w:eastAsia="Times New Roman" w:hAnsi="Times New Roman" w:cs="Times New Roman"/>
          <w:sz w:val="24"/>
          <w:szCs w:val="24"/>
        </w:rPr>
        <w:t>.</w:t>
      </w:r>
    </w:p>
    <w:p w14:paraId="4CFBEFCF" w14:textId="379DF329" w:rsidR="00E35B30" w:rsidRPr="00BA784D" w:rsidRDefault="0036612A">
      <w:pPr>
        <w:widowControl/>
        <w:spacing w:before="280" w:after="280" w:line="360" w:lineRule="auto"/>
        <w:jc w:val="both"/>
        <w:rPr>
          <w:rFonts w:ascii="Times New Roman" w:eastAsia="Times New Roman" w:hAnsi="Times New Roman" w:cs="Times New Roman"/>
          <w:color w:val="C00000"/>
          <w:sz w:val="24"/>
          <w:szCs w:val="24"/>
        </w:rPr>
      </w:pPr>
      <w:r w:rsidRPr="00BA784D">
        <w:rPr>
          <w:rFonts w:ascii="Times New Roman" w:eastAsia="Times New Roman" w:hAnsi="Times New Roman" w:cs="Times New Roman"/>
          <w:b/>
          <w:sz w:val="24"/>
          <w:szCs w:val="24"/>
        </w:rPr>
        <w:t>Línea Base:</w:t>
      </w:r>
      <w:r w:rsidRPr="00BA784D">
        <w:rPr>
          <w:rFonts w:ascii="Times New Roman" w:eastAsia="Times New Roman" w:hAnsi="Times New Roman" w:cs="Times New Roman"/>
          <w:sz w:val="24"/>
          <w:szCs w:val="24"/>
        </w:rPr>
        <w:t xml:space="preserve"> </w:t>
      </w:r>
      <w:r w:rsidR="00B209BC" w:rsidRPr="00BA784D">
        <w:rPr>
          <w:rFonts w:ascii="Times New Roman" w:eastAsia="Times New Roman" w:hAnsi="Times New Roman" w:cs="Times New Roman"/>
          <w:sz w:val="24"/>
          <w:szCs w:val="24"/>
        </w:rPr>
        <w:t>69.39</w:t>
      </w:r>
      <w:r w:rsidRPr="00BA784D">
        <w:rPr>
          <w:rFonts w:ascii="Times New Roman" w:eastAsia="Times New Roman" w:hAnsi="Times New Roman" w:cs="Times New Roman"/>
          <w:sz w:val="24"/>
          <w:szCs w:val="24"/>
        </w:rPr>
        <w:t>%, CNTAI</w:t>
      </w:r>
      <w:r w:rsidR="000A0337" w:rsidRPr="00BA784D">
        <w:rPr>
          <w:rFonts w:ascii="Times New Roman" w:eastAsia="Times New Roman" w:hAnsi="Times New Roman" w:cs="Times New Roman"/>
          <w:sz w:val="24"/>
          <w:szCs w:val="24"/>
        </w:rPr>
        <w:t>PPDPF y CNTAIPPDPE</w:t>
      </w:r>
      <w:r w:rsidRPr="00BA784D">
        <w:rPr>
          <w:rFonts w:ascii="Times New Roman" w:eastAsia="Times New Roman" w:hAnsi="Times New Roman" w:cs="Times New Roman"/>
          <w:sz w:val="24"/>
          <w:szCs w:val="24"/>
        </w:rPr>
        <w:t xml:space="preserve"> 2020</w:t>
      </w:r>
      <w:r w:rsidRPr="00BA784D">
        <w:br w:type="page"/>
      </w:r>
    </w:p>
    <w:p w14:paraId="782BAE97" w14:textId="77777777" w:rsidR="00E35B30" w:rsidRPr="00BA784D" w:rsidRDefault="0036612A">
      <w:pPr>
        <w:pStyle w:val="Ttulo2"/>
        <w:spacing w:line="360" w:lineRule="auto"/>
        <w:ind w:left="0" w:firstLine="20"/>
        <w:rPr>
          <w:sz w:val="24"/>
          <w:szCs w:val="24"/>
        </w:rPr>
      </w:pPr>
      <w:bookmarkStart w:id="38" w:name="_Toc102051237"/>
      <w:r w:rsidRPr="00BA784D">
        <w:rPr>
          <w:sz w:val="24"/>
          <w:szCs w:val="24"/>
        </w:rPr>
        <w:lastRenderedPageBreak/>
        <w:t>Eje Transversal B. Derechos Humanos, Enfoque de Género e Inclusión Social</w:t>
      </w:r>
      <w:bookmarkEnd w:id="38"/>
    </w:p>
    <w:p w14:paraId="3ED5C141" w14:textId="2CCB5700"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Síntesis de la problemática identificada en el diagnóstico:</w:t>
      </w:r>
      <w:r w:rsidRPr="00BA784D">
        <w:rPr>
          <w:rFonts w:ascii="Times New Roman" w:eastAsia="Times New Roman" w:hAnsi="Times New Roman" w:cs="Times New Roman"/>
          <w:sz w:val="24"/>
          <w:szCs w:val="24"/>
        </w:rPr>
        <w:t xml:space="preserve"> Deficiencia de acciones relacionadas al derecho de acceso a la información dirigidos a población en situación de vulnerabilidad, comunidades indígenas</w:t>
      </w:r>
      <w:r w:rsidR="00226359" w:rsidRPr="00BA784D">
        <w:rPr>
          <w:rFonts w:ascii="Times New Roman" w:eastAsia="Times New Roman" w:hAnsi="Times New Roman" w:cs="Times New Roman"/>
          <w:sz w:val="24"/>
          <w:szCs w:val="24"/>
        </w:rPr>
        <w:t>,</w:t>
      </w:r>
      <w:r w:rsidR="00593A29"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sz w:val="24"/>
          <w:szCs w:val="24"/>
        </w:rPr>
        <w:t>con perspectiva de género</w:t>
      </w:r>
      <w:r w:rsidR="00593A29" w:rsidRPr="00BA784D">
        <w:rPr>
          <w:rFonts w:ascii="Times New Roman" w:eastAsia="Times New Roman" w:hAnsi="Times New Roman" w:cs="Times New Roman"/>
          <w:sz w:val="24"/>
          <w:szCs w:val="24"/>
        </w:rPr>
        <w:t xml:space="preserve"> </w:t>
      </w:r>
      <w:r w:rsidR="00226359" w:rsidRPr="00BA784D">
        <w:rPr>
          <w:rFonts w:ascii="Times New Roman" w:eastAsia="Times New Roman" w:hAnsi="Times New Roman" w:cs="Times New Roman"/>
          <w:sz w:val="24"/>
          <w:szCs w:val="24"/>
        </w:rPr>
        <w:t xml:space="preserve">y derechos humanos. </w:t>
      </w:r>
    </w:p>
    <w:p w14:paraId="2963B1C2" w14:textId="77777777"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La incorporación de enfoques esenciales permite visibilizar los avances y los desafíos pendientes en las desigualdades con respecto al derecho de acceso a la información, así como medir la atención que en la materia reciben los grupos vulnerables del país, y si las instancias encargadas de esta labor imprimen un enfoque de género y de derechos humanos a sus funciones o no.</w:t>
      </w:r>
    </w:p>
    <w:p w14:paraId="70A71C77" w14:textId="77777777"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Existe una problemática generada por la contraposición de aspectos igualmente valiosos en el ejercicio del DAI, que se origina en las condición optativa establecida en la legislación para proporcionar datos de identificación en la realización de solicitudes de información misma que por un lado garantiza la mayor libertad para el ejercicio del derecho pero por otro incrementa la dificultad para conocer más respecto a los solicitantes y mejorar la calidad de la información en función de sus necesidades, por ejemplo, realizar la desagregación de datos por género que se considera una de las buenas prácticas en dicho enfoque. Aunque esto no significa que por estas razones no existan diversas brechas y exclusiones en el acceso a la información.</w:t>
      </w:r>
    </w:p>
    <w:p w14:paraId="55FBFBE3" w14:textId="0FD57298"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En el anterior PROTAI, el eje transversal </w:t>
      </w:r>
      <w:r w:rsidRPr="00BA784D">
        <w:rPr>
          <w:rFonts w:ascii="Times New Roman" w:eastAsia="Times New Roman" w:hAnsi="Times New Roman" w:cs="Times New Roman"/>
          <w:i/>
          <w:sz w:val="24"/>
          <w:szCs w:val="24"/>
        </w:rPr>
        <w:t>Derechos Humanos, Enfoque de Género e Inclusión Social</w:t>
      </w:r>
      <w:r w:rsidRPr="00BA784D">
        <w:rPr>
          <w:rFonts w:ascii="Times New Roman" w:eastAsia="Times New Roman" w:hAnsi="Times New Roman" w:cs="Times New Roman"/>
          <w:sz w:val="24"/>
          <w:szCs w:val="24"/>
        </w:rPr>
        <w:t xml:space="preserve">, con base en las 90 actividades que auto reportaron los Organismos Garantes </w:t>
      </w:r>
      <w:r w:rsidR="00404DD0" w:rsidRPr="00BA784D">
        <w:rPr>
          <w:rFonts w:ascii="Times New Roman" w:eastAsia="Times New Roman" w:hAnsi="Times New Roman" w:cs="Times New Roman"/>
          <w:sz w:val="24"/>
          <w:szCs w:val="24"/>
        </w:rPr>
        <w:t>L</w:t>
      </w:r>
      <w:r w:rsidRPr="00BA784D">
        <w:rPr>
          <w:rFonts w:ascii="Times New Roman" w:eastAsia="Times New Roman" w:hAnsi="Times New Roman" w:cs="Times New Roman"/>
          <w:sz w:val="24"/>
          <w:szCs w:val="24"/>
        </w:rPr>
        <w:t xml:space="preserve">ocales de 2018 a 2020: un 59.4% de estados registraron al menos una y un 40.6% ninguna. Las actividades estuvieron encauzadas principalmente en la línea de acción para </w:t>
      </w:r>
      <w:r w:rsidRPr="00BA784D">
        <w:rPr>
          <w:rFonts w:ascii="Times New Roman" w:eastAsia="Times New Roman" w:hAnsi="Times New Roman" w:cs="Times New Roman"/>
          <w:i/>
          <w:sz w:val="24"/>
          <w:szCs w:val="24"/>
        </w:rPr>
        <w:t>impulsar un enfoque de derechos humanos, no discriminación e inclusión social con las perspectivas establecidas en el PROTAI 2017-2021</w:t>
      </w:r>
      <w:r w:rsidRPr="00BA784D">
        <w:rPr>
          <w:rFonts w:ascii="Times New Roman" w:eastAsia="Times New Roman" w:hAnsi="Times New Roman" w:cs="Times New Roman"/>
          <w:sz w:val="24"/>
          <w:szCs w:val="24"/>
        </w:rPr>
        <w:t>.</w:t>
      </w:r>
    </w:p>
    <w:p w14:paraId="3EFB1AA4" w14:textId="77777777"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i/>
          <w:sz w:val="24"/>
          <w:szCs w:val="24"/>
        </w:rPr>
        <w:t>Objetivo Estratégico B.1 Consolidar el enfoque de derechos humanos, género, no discriminación e inclusión social para garantizar atención integral a grupos con mayor vulnerabilidad en el ejercicio del Derecho de Acceso a la Información.</w:t>
      </w:r>
    </w:p>
    <w:p w14:paraId="4239E3FD" w14:textId="77777777" w:rsidR="00E35B30" w:rsidRPr="00BA784D" w:rsidRDefault="0036612A">
      <w:pPr>
        <w:widowControl/>
        <w:spacing w:before="280" w:after="280" w:line="360" w:lineRule="auto"/>
        <w:jc w:val="both"/>
        <w:rPr>
          <w:rFonts w:ascii="Times New Roman" w:eastAsia="Times New Roman" w:hAnsi="Times New Roman" w:cs="Times New Roman"/>
          <w:b/>
          <w:i/>
          <w:sz w:val="24"/>
          <w:szCs w:val="24"/>
        </w:rPr>
      </w:pPr>
      <w:r w:rsidRPr="00BA784D">
        <w:rPr>
          <w:rFonts w:ascii="Times New Roman" w:eastAsia="Times New Roman" w:hAnsi="Times New Roman" w:cs="Times New Roman"/>
          <w:b/>
          <w:sz w:val="24"/>
          <w:szCs w:val="24"/>
        </w:rPr>
        <w:lastRenderedPageBreak/>
        <w:t>Líneas de acción: Se desarrollan al interior de cada uno de los ejes temáticos con el indicador “Línea Transversal DDHH, Enfoque de Género e Inclusión Social”</w:t>
      </w:r>
    </w:p>
    <w:p w14:paraId="41EC35A7" w14:textId="1C39EEA5" w:rsidR="00E35B30" w:rsidRPr="00BA784D" w:rsidRDefault="0036612A">
      <w:pPr>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1.1.5-B Línea Transversal DDHH, Enfoque de Género e Inclusión Social.</w:t>
      </w:r>
      <w:r w:rsidRPr="00BA784D">
        <w:rPr>
          <w:rFonts w:ascii="Times New Roman" w:eastAsia="Times New Roman" w:hAnsi="Times New Roman" w:cs="Times New Roman"/>
          <w:sz w:val="24"/>
          <w:szCs w:val="24"/>
        </w:rPr>
        <w:t xml:space="preserve"> Propiciar la generación de alianzas y convenios con la sociedad civil, instituciones académicas y autoridades especializadas en sectores especializados y personas en situación de vulnerabilidad, para identificar áreas de oportunidad en archivos y gestión documental, así como su vinculación con el derecho de acceso a la información por medio de investigaciones, diagnósticos, replicación de buenas prácticas y/o certificaciones</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1DD33238" w14:textId="77777777" w:rsidR="00E35B30" w:rsidRPr="00BA784D" w:rsidRDefault="00E35B30">
      <w:pPr>
        <w:widowControl/>
        <w:spacing w:line="360" w:lineRule="auto"/>
        <w:jc w:val="both"/>
        <w:rPr>
          <w:rFonts w:ascii="Times New Roman" w:eastAsia="Times New Roman" w:hAnsi="Times New Roman" w:cs="Times New Roman"/>
          <w:sz w:val="24"/>
          <w:szCs w:val="24"/>
        </w:rPr>
      </w:pPr>
    </w:p>
    <w:p w14:paraId="4A3A4D0F" w14:textId="2C56B9BA"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2.1.5-B Línea Transversal DDHH, Enfoque de Género e Inclusión Social. </w:t>
      </w:r>
      <w:r w:rsidRPr="00BA784D">
        <w:rPr>
          <w:rFonts w:ascii="Times New Roman" w:eastAsia="Times New Roman" w:hAnsi="Times New Roman" w:cs="Times New Roman"/>
          <w:sz w:val="24"/>
          <w:szCs w:val="24"/>
        </w:rPr>
        <w:t xml:space="preserve">Propiciar la generación de alianzas y convenios con la sociedad civil, sector privado, instituciones académicas y autoridades </w:t>
      </w:r>
      <w:r w:rsidR="00B4124F" w:rsidRPr="00BA784D">
        <w:rPr>
          <w:rFonts w:ascii="Times New Roman" w:eastAsia="Times New Roman" w:hAnsi="Times New Roman" w:cs="Times New Roman"/>
          <w:sz w:val="24"/>
          <w:szCs w:val="24"/>
        </w:rPr>
        <w:t xml:space="preserve">de los tres órdenes de gobierno, incluyendo las comunitarias y aquellas </w:t>
      </w:r>
      <w:r w:rsidRPr="00BA784D">
        <w:rPr>
          <w:rFonts w:ascii="Times New Roman" w:eastAsia="Times New Roman" w:hAnsi="Times New Roman" w:cs="Times New Roman"/>
          <w:sz w:val="24"/>
          <w:szCs w:val="24"/>
        </w:rPr>
        <w:t>especializadas para que toda persona tenga a su alcance los medios apropiados a sus posibilidades para ejercer y aprovechar el DAI para el acceso a otros derechos fundamentales (salud, educación, trabajo, servicios, seguridad, justicia, libertad de expresión, igualdad, etc.) con una adecuada perspectiva de inclusión y promoción de los derechos humanos con la replicación nacional de:</w:t>
      </w:r>
      <w:r w:rsidR="00155324" w:rsidRPr="00BA784D">
        <w:rPr>
          <w:rFonts w:ascii="Times New Roman" w:eastAsia="Times New Roman" w:hAnsi="Times New Roman" w:cs="Times New Roman"/>
          <w:sz w:val="24"/>
          <w:szCs w:val="24"/>
        </w:rPr>
        <w:t xml:space="preserve"> (INAI, OGL)</w:t>
      </w:r>
    </w:p>
    <w:p w14:paraId="39AB1390" w14:textId="77777777" w:rsidR="00E35B30" w:rsidRPr="00BA784D" w:rsidRDefault="0036612A">
      <w:pPr>
        <w:widowControl/>
        <w:numPr>
          <w:ilvl w:val="1"/>
          <w:numId w:val="2"/>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La Red por la Utilidad Social de los Derechos de Acceso a la Información y Protección de Datos Personales (Red USOC),</w:t>
      </w:r>
    </w:p>
    <w:p w14:paraId="731A505A" w14:textId="77777777" w:rsidR="00E35B30" w:rsidRPr="00BA784D" w:rsidRDefault="0036612A">
      <w:pPr>
        <w:widowControl/>
        <w:numPr>
          <w:ilvl w:val="1"/>
          <w:numId w:val="2"/>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El Programa de Sensibilización de Derechos (PROSEDE),</w:t>
      </w:r>
    </w:p>
    <w:p w14:paraId="5389931E" w14:textId="77777777" w:rsidR="00E35B30" w:rsidRPr="00BA784D" w:rsidRDefault="0036612A">
      <w:pPr>
        <w:widowControl/>
        <w:numPr>
          <w:ilvl w:val="1"/>
          <w:numId w:val="2"/>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La Caravana de la Transparencia y Privacidad,</w:t>
      </w:r>
    </w:p>
    <w:p w14:paraId="5FDDBAA4" w14:textId="77777777" w:rsidR="00E35B30" w:rsidRPr="00BA784D" w:rsidRDefault="0036612A">
      <w:pPr>
        <w:widowControl/>
        <w:numPr>
          <w:ilvl w:val="1"/>
          <w:numId w:val="2"/>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Concursos o certámenes que fomenten el uso y valor social de la información, en coordinación con autoridades educativas para dar mayor alcance. </w:t>
      </w:r>
    </w:p>
    <w:p w14:paraId="584E1020" w14:textId="77777777" w:rsidR="00E35B30" w:rsidRPr="00BA784D" w:rsidRDefault="0036612A">
      <w:pPr>
        <w:widowControl/>
        <w:numPr>
          <w:ilvl w:val="1"/>
          <w:numId w:val="2"/>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El Programa: “Promociona, Vincula y Acciona Tus Derechos y</w:t>
      </w:r>
    </w:p>
    <w:p w14:paraId="45CD80B4" w14:textId="77777777" w:rsidR="00E35B30" w:rsidRPr="00BA784D" w:rsidRDefault="0036612A">
      <w:pPr>
        <w:widowControl/>
        <w:numPr>
          <w:ilvl w:val="1"/>
          <w:numId w:val="2"/>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El Plan Nacional de Socialización del Derecho de Acceso a la Información (Plan DAI)</w:t>
      </w:r>
    </w:p>
    <w:p w14:paraId="77CF5480" w14:textId="77777777" w:rsidR="00E35B30" w:rsidRPr="00BA784D" w:rsidRDefault="0036612A">
      <w:pPr>
        <w:widowControl/>
        <w:numPr>
          <w:ilvl w:val="1"/>
          <w:numId w:val="2"/>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Otros que considere el SNT, sus integrantes, comisiones e instancias.</w:t>
      </w:r>
    </w:p>
    <w:p w14:paraId="67E9ADE8"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0AC17D6B" w14:textId="0A99F1A9"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lastRenderedPageBreak/>
        <w:t xml:space="preserve">2.1.21-B Línea Transversal DDHH, Enfoque de Género e Inclusión Social. </w:t>
      </w:r>
      <w:r w:rsidRPr="00BA784D">
        <w:rPr>
          <w:rFonts w:ascii="Times New Roman" w:eastAsia="Times New Roman" w:hAnsi="Times New Roman" w:cs="Times New Roman"/>
          <w:sz w:val="24"/>
          <w:szCs w:val="24"/>
        </w:rPr>
        <w:t xml:space="preserve"> Identificar información básica de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o de Sujetos Obligados que sea de utilidad social para pueblos y comunidades indígenas, así como desarrollar e implementar un programa piloto de traducción y difusión de dicha información, de la difusión de las leyes y documentos traducidos en lenguas indígenas que faciliten el conocimiento y ejercicio del DAI y su aplicación concreta en la vida de las comunidades y personas</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1F5CC130" w14:textId="77777777" w:rsidR="00CF47CF" w:rsidRPr="00BA784D" w:rsidRDefault="00CF47CF">
      <w:pPr>
        <w:widowControl/>
        <w:spacing w:line="360" w:lineRule="auto"/>
        <w:jc w:val="both"/>
        <w:rPr>
          <w:rFonts w:ascii="Times New Roman" w:eastAsia="Times New Roman" w:hAnsi="Times New Roman" w:cs="Times New Roman"/>
          <w:sz w:val="24"/>
          <w:szCs w:val="24"/>
        </w:rPr>
      </w:pPr>
    </w:p>
    <w:p w14:paraId="1F43C4F3" w14:textId="0F7838D9" w:rsidR="00D2261F" w:rsidRPr="00BA784D" w:rsidRDefault="00C93171" w:rsidP="00C93171">
      <w:pPr>
        <w:widowControl/>
        <w:spacing w:line="360" w:lineRule="auto"/>
        <w:ind w:left="68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w:t>
      </w:r>
      <w:r w:rsidR="00D2261F" w:rsidRPr="00BA784D">
        <w:rPr>
          <w:rFonts w:ascii="Times New Roman" w:eastAsia="Times New Roman" w:hAnsi="Times New Roman" w:cs="Times New Roman"/>
          <w:sz w:val="24"/>
          <w:szCs w:val="24"/>
        </w:rPr>
        <w:t xml:space="preserve">1.23-B </w:t>
      </w:r>
      <w:r w:rsidR="00D2261F" w:rsidRPr="00BA784D">
        <w:rPr>
          <w:rFonts w:ascii="Times New Roman" w:eastAsia="Times New Roman" w:hAnsi="Times New Roman" w:cs="Times New Roman"/>
          <w:b/>
          <w:sz w:val="24"/>
          <w:szCs w:val="24"/>
        </w:rPr>
        <w:t xml:space="preserve">Línea Transversal DDHH, Enfoque de Género e Inclusión Social. </w:t>
      </w:r>
      <w:r w:rsidR="00D2261F" w:rsidRPr="00BA784D">
        <w:rPr>
          <w:rFonts w:ascii="Times New Roman" w:eastAsia="Times New Roman" w:hAnsi="Times New Roman" w:cs="Times New Roman"/>
          <w:sz w:val="24"/>
          <w:szCs w:val="24"/>
        </w:rPr>
        <w:t>Implementar por parte de los Organismos Garantes instrumentos orientadores para el fortalecimiento del Enfoque de Derechos Humanos, Igualdad de Género e Inclusión Social emitidos por el SNT o por sus Instancias</w:t>
      </w:r>
      <w:r w:rsidR="00155324" w:rsidRPr="00BA784D">
        <w:rPr>
          <w:rFonts w:ascii="Times New Roman" w:eastAsia="Times New Roman" w:hAnsi="Times New Roman" w:cs="Times New Roman"/>
          <w:sz w:val="24"/>
          <w:szCs w:val="24"/>
        </w:rPr>
        <w:t xml:space="preserve"> (INAI, OGL)</w:t>
      </w:r>
      <w:r w:rsidR="00D2261F" w:rsidRPr="00BA784D">
        <w:rPr>
          <w:rFonts w:ascii="Times New Roman" w:eastAsia="Times New Roman" w:hAnsi="Times New Roman" w:cs="Times New Roman"/>
          <w:sz w:val="24"/>
          <w:szCs w:val="24"/>
        </w:rPr>
        <w:t xml:space="preserve">. </w:t>
      </w:r>
    </w:p>
    <w:p w14:paraId="528F7F4E" w14:textId="1D7A49B3" w:rsidR="00CF47CF" w:rsidRPr="00BA784D" w:rsidRDefault="00CF47CF">
      <w:pPr>
        <w:widowControl/>
        <w:spacing w:line="360" w:lineRule="auto"/>
        <w:jc w:val="both"/>
        <w:rPr>
          <w:rFonts w:ascii="Times New Roman" w:eastAsia="Times New Roman" w:hAnsi="Times New Roman" w:cs="Times New Roman"/>
          <w:sz w:val="24"/>
          <w:szCs w:val="24"/>
        </w:rPr>
      </w:pPr>
    </w:p>
    <w:p w14:paraId="46E8B607" w14:textId="6F35A1A3"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3.1.5-B Línea Transversal DDHH, Enfoque de Género e Inclusión Social. </w:t>
      </w:r>
      <w:r w:rsidRPr="00BA784D">
        <w:rPr>
          <w:rFonts w:ascii="Times New Roman" w:eastAsia="Times New Roman" w:hAnsi="Times New Roman" w:cs="Times New Roman"/>
          <w:sz w:val="24"/>
          <w:szCs w:val="24"/>
        </w:rPr>
        <w:t>Ampliar la instalación y funcionamiento de iniciativas y mecanismos de Estado Abierto en los tres ámbitos de gobierno que respondan a los contextos sociales locales, federal y nacional (Parlamento Abierto, Justicia Abierta y Gobierno Abierto) de forma que sean incluyentes y accesibles a la participación ciudadana como un elemento indispensable para el robustecimiento de estas prácticas</w:t>
      </w:r>
      <w:r w:rsidR="00B4124F" w:rsidRPr="00BA784D">
        <w:rPr>
          <w:rFonts w:ascii="Times New Roman" w:eastAsia="Times New Roman" w:hAnsi="Times New Roman" w:cs="Times New Roman"/>
          <w:sz w:val="24"/>
          <w:szCs w:val="24"/>
        </w:rPr>
        <w:t xml:space="preserve">, </w:t>
      </w:r>
      <w:r w:rsidR="006939EB" w:rsidRPr="00BA784D">
        <w:rPr>
          <w:rFonts w:ascii="Times New Roman" w:eastAsia="Times New Roman" w:hAnsi="Times New Roman" w:cs="Times New Roman"/>
          <w:sz w:val="24"/>
          <w:szCs w:val="24"/>
        </w:rPr>
        <w:t>a</w:t>
      </w:r>
      <w:r w:rsidR="00B4124F" w:rsidRPr="00BA784D">
        <w:rPr>
          <w:rFonts w:ascii="Times New Roman" w:eastAsia="Times New Roman" w:hAnsi="Times New Roman" w:cs="Times New Roman"/>
          <w:sz w:val="24"/>
          <w:szCs w:val="24"/>
        </w:rPr>
        <w:t>sí como para grupos en situación de vulnerabilidad</w:t>
      </w:r>
      <w:r w:rsidR="00155324" w:rsidRPr="00BA784D">
        <w:rPr>
          <w:rFonts w:ascii="Times New Roman" w:eastAsia="Times New Roman" w:hAnsi="Times New Roman" w:cs="Times New Roman"/>
          <w:sz w:val="24"/>
          <w:szCs w:val="24"/>
        </w:rPr>
        <w:t xml:space="preserve"> (INAI, OGL)</w:t>
      </w:r>
      <w:r w:rsidR="006939EB" w:rsidRPr="00BA784D">
        <w:rPr>
          <w:rFonts w:ascii="Times New Roman" w:eastAsia="Times New Roman" w:hAnsi="Times New Roman" w:cs="Times New Roman"/>
          <w:sz w:val="24"/>
          <w:szCs w:val="24"/>
        </w:rPr>
        <w:t>.</w:t>
      </w:r>
    </w:p>
    <w:p w14:paraId="689C183C"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475AB300" w14:textId="26A23AC3"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3.2.4-B Línea Transversal DDHH, Enfoque de Género e Inclusión Social. </w:t>
      </w:r>
      <w:r w:rsidRPr="00BA784D">
        <w:rPr>
          <w:rFonts w:ascii="Times New Roman" w:eastAsia="Times New Roman" w:hAnsi="Times New Roman" w:cs="Times New Roman"/>
          <w:sz w:val="24"/>
          <w:szCs w:val="24"/>
        </w:rPr>
        <w:t>Continuar la implementación de la PNT a nivel nacional y realizar las actualizaciones necesarias para mantener la accesibilidad y usabilidad por sus personas usuarias</w:t>
      </w:r>
      <w:r w:rsidR="009E6923"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sz w:val="24"/>
          <w:szCs w:val="24"/>
        </w:rPr>
        <w:t>(en especial aquellos con alguna discapacidad o de lengua indígena), administradores y las personas del servicio público de los sujetos obligados; así como desarrollar</w:t>
      </w:r>
      <w:r w:rsidR="00B4124F" w:rsidRPr="00BA784D">
        <w:rPr>
          <w:rFonts w:ascii="Times New Roman" w:eastAsia="Times New Roman" w:hAnsi="Times New Roman" w:cs="Times New Roman"/>
          <w:sz w:val="24"/>
          <w:szCs w:val="24"/>
        </w:rPr>
        <w:t xml:space="preserve"> acciones para reducir la brecha digital y</w:t>
      </w:r>
      <w:r w:rsidRPr="00BA784D">
        <w:rPr>
          <w:rFonts w:ascii="Times New Roman" w:eastAsia="Times New Roman" w:hAnsi="Times New Roman" w:cs="Times New Roman"/>
          <w:sz w:val="24"/>
          <w:szCs w:val="24"/>
        </w:rPr>
        <w:t xml:space="preserve"> mecanismos de vinculación con los sistemas informáticos de control y gestión documental y la Plataforma Digital Nacional (PDN)</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7D91F4D7"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636AE73F" w14:textId="6CF884A9"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lastRenderedPageBreak/>
        <w:t xml:space="preserve">3.2.5-B Línea Transversal DDHH, Enfoque de Género e Inclusión Social.  </w:t>
      </w:r>
      <w:r w:rsidRPr="00BA784D">
        <w:rPr>
          <w:rFonts w:ascii="Times New Roman" w:eastAsia="Times New Roman" w:hAnsi="Times New Roman" w:cs="Times New Roman"/>
          <w:sz w:val="24"/>
          <w:szCs w:val="24"/>
        </w:rPr>
        <w:t xml:space="preserve">Generar estrategias de inclusión digital a partir de la generación de material (infografías, videos, textos en revistas, folletos, historietas, etc.) de los mecanismos para el ejercicio del DAI, así como los productos informativos (micrositios, estadísticas, información focalizada), cursos y asesorías que se ofrecen; asimismo, desarrollar cursos de orientación para que personas en situación de vulnerabilidad o sus familiares y/o cuidadores </w:t>
      </w:r>
      <w:r w:rsidR="009E6923" w:rsidRPr="00BA784D">
        <w:rPr>
          <w:rFonts w:ascii="Times New Roman" w:eastAsia="Times New Roman" w:hAnsi="Times New Roman" w:cs="Times New Roman"/>
          <w:sz w:val="24"/>
          <w:szCs w:val="24"/>
        </w:rPr>
        <w:t xml:space="preserve">que </w:t>
      </w:r>
      <w:r w:rsidRPr="00BA784D">
        <w:rPr>
          <w:rFonts w:ascii="Times New Roman" w:eastAsia="Times New Roman" w:hAnsi="Times New Roman" w:cs="Times New Roman"/>
          <w:sz w:val="24"/>
          <w:szCs w:val="24"/>
        </w:rPr>
        <w:t>puedan ayudarles a encontrar y acceder información pública sobre trámites y/o servicios en línea, mediante el uso de computadora o un teléfono móvil</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17364191"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177E1DD0" w14:textId="11DEB2AB"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3.3.5-B Línea Transversal DDHH, Enfoque de Género e Inclusión Social. </w:t>
      </w:r>
      <w:r w:rsidRPr="00BA784D">
        <w:rPr>
          <w:rFonts w:ascii="Times New Roman" w:eastAsia="Times New Roman" w:hAnsi="Times New Roman" w:cs="Times New Roman"/>
          <w:sz w:val="24"/>
          <w:szCs w:val="24"/>
        </w:rPr>
        <w:t>Propiciar iniciativas de colaboración con personas en situación de vulnerabilidad para dotar de utilidad social a los ejercicios de Transparencia Proactiva y reducir las brechas informativas que generan desigualdad en el ejercicio de sus derechos; se recomienda que dichas acciones se amplíen de los colaboradores y grupos habituales para llegar a personas en situación de pobreza, niñas, niños y adolescentes, diversidad sexual, origen rural, entre otros</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5C4A68A3" w14:textId="77777777"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2D9D1846" w14:textId="4FE5D05C"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3.3.6-B Línea Transversal DDHH, Enfoque de Género e Inclusión Social. </w:t>
      </w:r>
      <w:r w:rsidRPr="00BA784D">
        <w:rPr>
          <w:rFonts w:ascii="Times New Roman" w:eastAsia="Times New Roman" w:hAnsi="Times New Roman" w:cs="Times New Roman"/>
          <w:sz w:val="24"/>
          <w:szCs w:val="24"/>
        </w:rPr>
        <w:t>Establecer perfiles de personas usuarias y para construir fuentes con información de calidad, inclusión, accesibilidad, así como conocimiento público en temas de interés de la sociedad, con atención al contexto social en que se desenvuelven los sujetos obligados, para reducir las brechas en el acceso a la información pública, resolver problemas sociales y sensibilizar en materia de discriminación y violencia por razón de género con un enfoque de derechos humanos, igualdad y género</w:t>
      </w:r>
      <w:r w:rsidR="00B4124F" w:rsidRPr="00BA784D">
        <w:rPr>
          <w:rFonts w:ascii="Times New Roman" w:eastAsia="Times New Roman" w:hAnsi="Times New Roman" w:cs="Times New Roman"/>
          <w:sz w:val="24"/>
          <w:szCs w:val="24"/>
        </w:rPr>
        <w:t>; así como  acciones de acercamiento con sociedad civil en general, que guíen sobre la información que los grupos en situación de vulnerabilidad particularmente  consideren como útil</w:t>
      </w:r>
      <w:r w:rsidR="00155324" w:rsidRPr="00BA784D">
        <w:rPr>
          <w:rFonts w:ascii="Times New Roman" w:eastAsia="Times New Roman" w:hAnsi="Times New Roman" w:cs="Times New Roman"/>
          <w:sz w:val="24"/>
          <w:szCs w:val="24"/>
        </w:rPr>
        <w:t xml:space="preserve"> (INAI, OGL)</w:t>
      </w:r>
      <w:r w:rsidR="00B4124F"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 xml:space="preserve"> </w:t>
      </w:r>
    </w:p>
    <w:p w14:paraId="7EB8EDD9" w14:textId="77777777"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1789956C" w14:textId="2BE06128"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3.4.2-B Línea Transversal DDHH, Enfoque de Género e Inclusión Social.</w:t>
      </w:r>
      <w:r w:rsidRPr="00BA784D">
        <w:rPr>
          <w:rFonts w:ascii="Times New Roman" w:eastAsia="Times New Roman" w:hAnsi="Times New Roman" w:cs="Times New Roman"/>
          <w:sz w:val="24"/>
          <w:szCs w:val="24"/>
        </w:rPr>
        <w:t xml:space="preserve"> Realizar las actualizaciones necesarias al SIPOT y sus buscadores, tutoriales y </w:t>
      </w:r>
      <w:r w:rsidRPr="00BA784D">
        <w:rPr>
          <w:rFonts w:ascii="Times New Roman" w:eastAsia="Times New Roman" w:hAnsi="Times New Roman" w:cs="Times New Roman"/>
          <w:sz w:val="24"/>
          <w:szCs w:val="24"/>
        </w:rPr>
        <w:lastRenderedPageBreak/>
        <w:t>herramientas para mantener la accesibilidad y usabilidad por sus personas usuarias</w:t>
      </w:r>
      <w:r w:rsidR="00EF1A3F"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sz w:val="24"/>
          <w:szCs w:val="24"/>
        </w:rPr>
        <w:t>(en especial aquellos con alguna discapacidad o de lengua indígena), administradores y las personas del servicio público de los sujetos obligados; así como desarrollar mecanismos de vinculación con los sistemas informáticos de control y gestión documental y la Plataforma Digital Nacional</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1435FFD1"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76A3B583" w14:textId="7549F344"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3.4.9-B Línea Transversal DDHH, Enfoque de Género e Inclusión Social.</w:t>
      </w:r>
      <w:r w:rsidRPr="00BA784D">
        <w:rPr>
          <w:rFonts w:ascii="Times New Roman" w:eastAsia="Times New Roman" w:hAnsi="Times New Roman" w:cs="Times New Roman"/>
          <w:sz w:val="24"/>
          <w:szCs w:val="24"/>
        </w:rPr>
        <w:t xml:space="preserve"> Propiciar iniciativas de colaboración con personas en situación de vulnerabilidad para dotar de utilidad social de la información contenida en las obligaciones de transparencia y reducir las brechas informativas que generan desigualdad en el ejercicio de sus derechos; se recomienda que dichas acciones se amplíen de los colaboradores habituales</w:t>
      </w:r>
      <w:r w:rsidRPr="00BA784D">
        <w:rPr>
          <w:rFonts w:ascii="Times New Roman" w:eastAsia="Times New Roman" w:hAnsi="Times New Roman" w:cs="Times New Roman"/>
          <w:sz w:val="24"/>
          <w:szCs w:val="24"/>
          <w:vertAlign w:val="superscript"/>
        </w:rPr>
        <w:footnoteReference w:id="27"/>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01775276" w14:textId="77777777"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59A333AF" w14:textId="07E8FE80"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3.4.10-B Línea Transversal DDHH, Enfoque de Género e Inclusión Social. </w:t>
      </w:r>
      <w:r w:rsidRPr="00BA784D">
        <w:rPr>
          <w:rFonts w:ascii="Times New Roman" w:eastAsia="Times New Roman" w:hAnsi="Times New Roman" w:cs="Times New Roman"/>
          <w:sz w:val="24"/>
          <w:szCs w:val="24"/>
        </w:rPr>
        <w:t>Revisar los lineamientos y normatividad relativa a la publicación de obligaciones de transparencia para favorecer la incorporación del enfoque de género y de inclusión social desde la captura de la información; asimismo desarrollar herramientas y/o buscadores que permitan encontrarla fácilmente</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6502B0F7"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334BEAB8" w14:textId="26B00A48"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3.5.1-B Línea Transversal DDHH, Enfoque de Género e Inclusión Social.</w:t>
      </w:r>
      <w:r w:rsidRPr="00BA784D">
        <w:rPr>
          <w:rFonts w:ascii="Times New Roman" w:eastAsia="Times New Roman" w:hAnsi="Times New Roman" w:cs="Times New Roman"/>
          <w:sz w:val="24"/>
          <w:szCs w:val="24"/>
        </w:rPr>
        <w:t xml:space="preserve"> Identificar, impulsar y compartir mejores prácticas de datos abiertos en el marco del SNT, sobre temas de relevancia social y dirigidos </w:t>
      </w:r>
      <w:r w:rsidR="00EF1A3F" w:rsidRPr="00BA784D">
        <w:rPr>
          <w:rFonts w:ascii="Times New Roman" w:eastAsia="Times New Roman" w:hAnsi="Times New Roman" w:cs="Times New Roman"/>
          <w:sz w:val="24"/>
          <w:szCs w:val="24"/>
        </w:rPr>
        <w:t xml:space="preserve">a </w:t>
      </w:r>
      <w:r w:rsidRPr="00BA784D">
        <w:rPr>
          <w:rFonts w:ascii="Times New Roman" w:eastAsia="Times New Roman" w:hAnsi="Times New Roman" w:cs="Times New Roman"/>
          <w:sz w:val="24"/>
          <w:szCs w:val="24"/>
        </w:rPr>
        <w:t>reducir las brechas de inclusión informativa que generan desigualdad en el ejercicio de los derechos humanos; se recomienda que dichas acciones se amplíen de los colaboradores habituales</w:t>
      </w:r>
      <w:r w:rsidRPr="00BA784D">
        <w:rPr>
          <w:rFonts w:ascii="Times New Roman" w:eastAsia="Times New Roman" w:hAnsi="Times New Roman" w:cs="Times New Roman"/>
          <w:sz w:val="24"/>
          <w:szCs w:val="24"/>
          <w:vertAlign w:val="superscript"/>
        </w:rPr>
        <w:footnoteReference w:id="28"/>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02785968"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5E0AA5F9" w14:textId="42A098CB"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lastRenderedPageBreak/>
        <w:t>3.5.6-B Línea Transversal DDHH, Enfoque de Género e Inclusión Social.</w:t>
      </w:r>
      <w:r w:rsidRPr="00BA784D">
        <w:rPr>
          <w:rFonts w:ascii="Times New Roman" w:eastAsia="Times New Roman" w:hAnsi="Times New Roman" w:cs="Times New Roman"/>
          <w:sz w:val="24"/>
          <w:szCs w:val="24"/>
        </w:rPr>
        <w:t xml:space="preserve"> Propiciar iniciativas de colaboración con personas en situación de vulnerabilidad para dotar de utilidad e inclusión social a iniciativas de Datos Abiertos y reducir las brechas informativas que generan desigualdad en el ejercicio de sus derechos; se recomienda que dichas acciones se amplíen de los colaboradores habituales</w:t>
      </w:r>
      <w:r w:rsidRPr="00BA784D">
        <w:rPr>
          <w:rFonts w:ascii="Times New Roman" w:eastAsia="Times New Roman" w:hAnsi="Times New Roman" w:cs="Times New Roman"/>
          <w:sz w:val="24"/>
          <w:szCs w:val="24"/>
          <w:vertAlign w:val="superscript"/>
        </w:rPr>
        <w:footnoteReference w:id="29"/>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598E2E54"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3E943A70" w14:textId="23870DBA"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5.1.1-B Línea Transversal DDHH, Enfoque de Género e Inclusión Social. </w:t>
      </w:r>
      <w:r w:rsidRPr="00BA784D">
        <w:rPr>
          <w:rFonts w:ascii="Times New Roman" w:eastAsia="Times New Roman" w:hAnsi="Times New Roman" w:cs="Times New Roman"/>
          <w:sz w:val="24"/>
          <w:szCs w:val="24"/>
        </w:rPr>
        <w:t>Promover la eficacia en la resolución de medios de impugnación respetando los derechos procesales, principio pro-persona, la suplencia de la queja y la aplicación del control de convencionalidad con el desarrollo de metodologías y protocolos para su atención</w:t>
      </w:r>
      <w:r w:rsidR="00C00A9A" w:rsidRPr="00BA784D">
        <w:rPr>
          <w:rFonts w:ascii="Times New Roman" w:eastAsia="Times New Roman" w:hAnsi="Times New Roman" w:cs="Times New Roman"/>
          <w:sz w:val="24"/>
          <w:szCs w:val="24"/>
        </w:rPr>
        <w:t>. De igual manera transversalizar la perspectiva de género en las resoluciones emitidas por los órganos garantes, así como su identificación</w:t>
      </w:r>
      <w:r w:rsidR="00155324" w:rsidRPr="00BA784D">
        <w:rPr>
          <w:rFonts w:ascii="Times New Roman" w:eastAsia="Times New Roman" w:hAnsi="Times New Roman" w:cs="Times New Roman"/>
          <w:sz w:val="24"/>
          <w:szCs w:val="24"/>
        </w:rPr>
        <w:t xml:space="preserve"> (INAI, OGL).</w:t>
      </w:r>
      <w:r w:rsidR="00572E75" w:rsidRPr="00BA784D">
        <w:rPr>
          <w:rFonts w:ascii="Times New Roman" w:eastAsia="Times New Roman" w:hAnsi="Times New Roman" w:cs="Times New Roman"/>
          <w:sz w:val="24"/>
          <w:szCs w:val="24"/>
        </w:rPr>
        <w:t xml:space="preserve"> </w:t>
      </w:r>
    </w:p>
    <w:p w14:paraId="5792A012" w14:textId="77777777"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2F13B406" w14:textId="593A1357"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5.1.2-B Línea Transversal DDHH, Enfoque de Género e Inclusión Social.</w:t>
      </w:r>
      <w:r w:rsidRPr="00BA784D">
        <w:rPr>
          <w:rFonts w:ascii="Times New Roman" w:eastAsia="Times New Roman" w:hAnsi="Times New Roman" w:cs="Times New Roman"/>
          <w:sz w:val="24"/>
          <w:szCs w:val="24"/>
        </w:rPr>
        <w:t xml:space="preserve"> Impulsar el lenguaje ciudadano, lectura fácil y mecanismos de inclusión en las resoluciones a las personas promoventes</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21EE09B9" w14:textId="77777777"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43F7B2E2" w14:textId="754FBE92"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5.1.3-B Línea Transversal DDHH, Enfoque de Género e Inclusión Social. </w:t>
      </w:r>
      <w:r w:rsidRPr="00BA784D">
        <w:rPr>
          <w:rFonts w:ascii="Times New Roman" w:eastAsia="Times New Roman" w:hAnsi="Times New Roman" w:cs="Times New Roman"/>
          <w:sz w:val="24"/>
          <w:szCs w:val="24"/>
        </w:rPr>
        <w:t>Promover el diseño de protocolos de atención con enfoque de Derechos Humanos, Perspectiva de Género e Inclusión Social</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1096562E" w14:textId="7CBA8D69" w:rsidR="00E35B30" w:rsidRPr="00BA784D" w:rsidRDefault="0036612A">
      <w:pPr>
        <w:widowControl/>
        <w:spacing w:before="280" w:after="280" w:line="360" w:lineRule="auto"/>
        <w:jc w:val="both"/>
        <w:rPr>
          <w:rFonts w:ascii="Times New Roman" w:eastAsia="Times New Roman" w:hAnsi="Times New Roman" w:cs="Times New Roman"/>
          <w:b/>
          <w:i/>
          <w:sz w:val="24"/>
          <w:szCs w:val="24"/>
        </w:rPr>
      </w:pPr>
      <w:r w:rsidRPr="00BA784D">
        <w:rPr>
          <w:rFonts w:ascii="Times New Roman" w:eastAsia="Times New Roman" w:hAnsi="Times New Roman" w:cs="Times New Roman"/>
          <w:b/>
          <w:sz w:val="24"/>
          <w:szCs w:val="24"/>
        </w:rPr>
        <w:t>Estrategias:</w:t>
      </w:r>
      <w:r w:rsidRPr="00BA784D">
        <w:rPr>
          <w:rFonts w:ascii="Times New Roman" w:eastAsia="Times New Roman" w:hAnsi="Times New Roman" w:cs="Times New Roman"/>
          <w:sz w:val="24"/>
          <w:szCs w:val="24"/>
        </w:rPr>
        <w:t xml:space="preserve"> Socialización / Coordinación / Capacitación / PNT y TIC</w:t>
      </w:r>
      <w:r w:rsidR="00A75300">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s / Mejora Regulatoria / Inclusión / Comunicación</w:t>
      </w:r>
      <w:r w:rsidRPr="00BA784D">
        <w:rPr>
          <w:rFonts w:ascii="Times New Roman" w:eastAsia="Times New Roman" w:hAnsi="Times New Roman" w:cs="Times New Roman"/>
          <w:b/>
          <w:i/>
          <w:sz w:val="24"/>
          <w:szCs w:val="24"/>
        </w:rPr>
        <w:t xml:space="preserve"> </w:t>
      </w:r>
    </w:p>
    <w:p w14:paraId="7274E086" w14:textId="6C326D6B"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Indicador de Resultado: </w:t>
      </w:r>
      <w:r w:rsidRPr="00BA784D">
        <w:rPr>
          <w:rFonts w:ascii="Times New Roman" w:eastAsia="Times New Roman" w:hAnsi="Times New Roman" w:cs="Times New Roman"/>
          <w:sz w:val="24"/>
          <w:szCs w:val="24"/>
        </w:rPr>
        <w:t xml:space="preserve">Porcentaje </w:t>
      </w:r>
      <w:r w:rsidR="0054350A" w:rsidRPr="00BA784D">
        <w:rPr>
          <w:rFonts w:ascii="Times New Roman" w:eastAsia="Times New Roman" w:hAnsi="Times New Roman" w:cs="Times New Roman"/>
          <w:sz w:val="24"/>
          <w:szCs w:val="24"/>
        </w:rPr>
        <w:t>de Organismos Garantes que reportan que sus</w:t>
      </w:r>
      <w:r w:rsidRPr="00BA784D">
        <w:rPr>
          <w:rFonts w:ascii="Times New Roman" w:eastAsia="Times New Roman" w:hAnsi="Times New Roman" w:cs="Times New Roman"/>
          <w:sz w:val="24"/>
          <w:szCs w:val="24"/>
        </w:rPr>
        <w:t xml:space="preserve"> sujetos obligados</w:t>
      </w:r>
      <w:r w:rsidR="0054350A" w:rsidRPr="00BA784D">
        <w:rPr>
          <w:rFonts w:ascii="Times New Roman" w:eastAsia="Times New Roman" w:hAnsi="Times New Roman" w:cs="Times New Roman"/>
          <w:sz w:val="24"/>
          <w:szCs w:val="24"/>
        </w:rPr>
        <w:t xml:space="preserve"> implementan</w:t>
      </w:r>
      <w:r w:rsidRPr="00BA784D">
        <w:rPr>
          <w:rFonts w:ascii="Times New Roman" w:eastAsia="Times New Roman" w:hAnsi="Times New Roman" w:cs="Times New Roman"/>
          <w:sz w:val="24"/>
          <w:szCs w:val="24"/>
        </w:rPr>
        <w:t xml:space="preserve"> medidas de accesibilidad y/o ajustes razonables</w:t>
      </w:r>
      <w:r w:rsidR="00572E75" w:rsidRPr="00BA784D">
        <w:rPr>
          <w:rFonts w:ascii="Times New Roman" w:eastAsia="Times New Roman" w:hAnsi="Times New Roman" w:cs="Times New Roman"/>
          <w:sz w:val="24"/>
          <w:szCs w:val="24"/>
        </w:rPr>
        <w:t xml:space="preserve"> </w:t>
      </w:r>
    </w:p>
    <w:p w14:paraId="08D66F44" w14:textId="2F3C36A8"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lastRenderedPageBreak/>
        <w:t>Línea Base:</w:t>
      </w:r>
      <w:r w:rsidRPr="00BA784D">
        <w:rPr>
          <w:rFonts w:ascii="Times New Roman" w:eastAsia="Times New Roman" w:hAnsi="Times New Roman" w:cs="Times New Roman"/>
          <w:sz w:val="24"/>
          <w:szCs w:val="24"/>
        </w:rPr>
        <w:t xml:space="preserve"> </w:t>
      </w:r>
      <w:r w:rsidR="0054350A" w:rsidRPr="00BA784D">
        <w:rPr>
          <w:rFonts w:ascii="Times New Roman" w:eastAsia="Times New Roman" w:hAnsi="Times New Roman" w:cs="Times New Roman"/>
          <w:sz w:val="24"/>
          <w:szCs w:val="24"/>
        </w:rPr>
        <w:t>87.87</w:t>
      </w:r>
      <w:r w:rsidRPr="00BA784D">
        <w:rPr>
          <w:rFonts w:ascii="Times New Roman" w:eastAsia="Times New Roman" w:hAnsi="Times New Roman" w:cs="Times New Roman"/>
          <w:sz w:val="24"/>
          <w:szCs w:val="24"/>
        </w:rPr>
        <w:t>%, CNTAI</w:t>
      </w:r>
      <w:r w:rsidR="000A0337" w:rsidRPr="00BA784D">
        <w:rPr>
          <w:rFonts w:ascii="Times New Roman" w:eastAsia="Times New Roman" w:hAnsi="Times New Roman" w:cs="Times New Roman"/>
          <w:sz w:val="24"/>
          <w:szCs w:val="24"/>
        </w:rPr>
        <w:t>PPDPF y CNTAIPPDPE</w:t>
      </w:r>
      <w:r w:rsidRPr="00BA784D">
        <w:rPr>
          <w:rFonts w:ascii="Times New Roman" w:eastAsia="Times New Roman" w:hAnsi="Times New Roman" w:cs="Times New Roman"/>
          <w:sz w:val="24"/>
          <w:szCs w:val="24"/>
        </w:rPr>
        <w:t xml:space="preserve"> 2020</w:t>
      </w:r>
    </w:p>
    <w:p w14:paraId="25773D7A"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Al medir la cobertura de las acciones de accesibilidad y/o ajustes razonables desplegadas por los sujetos obligados y reportados por sus Organismos Garantes se</w:t>
      </w:r>
      <w:r w:rsidRPr="00BA784D">
        <w:rPr>
          <w:rFonts w:ascii="Times New Roman" w:eastAsia="Times New Roman" w:hAnsi="Times New Roman" w:cs="Times New Roman"/>
          <w:b/>
          <w:i/>
          <w:sz w:val="24"/>
          <w:szCs w:val="24"/>
        </w:rPr>
        <w:t xml:space="preserve"> </w:t>
      </w:r>
      <w:r w:rsidRPr="00BA784D">
        <w:rPr>
          <w:rFonts w:ascii="Times New Roman" w:eastAsia="Times New Roman" w:hAnsi="Times New Roman" w:cs="Times New Roman"/>
          <w:sz w:val="24"/>
          <w:szCs w:val="24"/>
        </w:rPr>
        <w:t>conoce el alcance mínimo del enfoque de derechos humanos, género, no discriminación e inclusión social para garantizar atención integral a grupos con mayor vulnerabilidad en el ejercicio del Derecho de Acceso a la Información, al reportar al menos una de las acciones establecidas en el Catálogo de medidas de accesibilidad y/o ajustes razonables:</w:t>
      </w:r>
    </w:p>
    <w:p w14:paraId="6A7E2684" w14:textId="77777777" w:rsidR="00E35B30" w:rsidRPr="00BA784D" w:rsidRDefault="0036612A">
      <w:pPr>
        <w:widowControl/>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 Instalaciones que permitan la permanencia y el libre desplazamiento de personas con discapacidad, adultos mayores, niños, niñas y mujeres embarazadas</w:t>
      </w:r>
    </w:p>
    <w:p w14:paraId="049894D0" w14:textId="77777777" w:rsidR="00E35B30" w:rsidRPr="00BA784D" w:rsidRDefault="0036612A">
      <w:pPr>
        <w:widowControl/>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 Mobiliario ergonómico para personas con discapacidad, adultos mayores, niños, niñas y mujeres embarazadas</w:t>
      </w:r>
    </w:p>
    <w:p w14:paraId="6C919087" w14:textId="77777777" w:rsidR="00E35B30" w:rsidRPr="00BA784D" w:rsidRDefault="0036612A">
      <w:pPr>
        <w:widowControl/>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3.Uso de tecnologías de la información que permitan generar condiciones de accesibilidad</w:t>
      </w:r>
    </w:p>
    <w:p w14:paraId="27628840" w14:textId="77777777" w:rsidR="00E35B30" w:rsidRPr="00BA784D" w:rsidRDefault="0036612A">
      <w:pPr>
        <w:widowControl/>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4. Uso de audioguías</w:t>
      </w:r>
    </w:p>
    <w:p w14:paraId="0A11C6CF" w14:textId="77777777" w:rsidR="00E35B30" w:rsidRPr="00BA784D" w:rsidRDefault="0036612A">
      <w:pPr>
        <w:widowControl/>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5.Personal especializado para interpretar lenguas indígenas</w:t>
      </w:r>
    </w:p>
    <w:p w14:paraId="6704B895" w14:textId="77777777" w:rsidR="00E35B30" w:rsidRPr="00BA784D" w:rsidRDefault="0036612A">
      <w:pPr>
        <w:widowControl/>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6.Personal especializado para interpretar lenguaje de señas</w:t>
      </w:r>
    </w:p>
    <w:p w14:paraId="3B2A0D9C" w14:textId="77777777" w:rsidR="00E35B30" w:rsidRPr="00BA784D" w:rsidRDefault="0036612A">
      <w:pPr>
        <w:widowControl/>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7.Personal especializado para traducir el sistema de escritura Braille</w:t>
      </w:r>
    </w:p>
    <w:p w14:paraId="5758FF93" w14:textId="77777777" w:rsidR="00E35B30" w:rsidRPr="00BA784D" w:rsidRDefault="0036612A">
      <w:pPr>
        <w:widowControl/>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8.Estenografía proyectada</w:t>
      </w:r>
    </w:p>
    <w:p w14:paraId="0C518572" w14:textId="77777777" w:rsidR="00E35B30" w:rsidRPr="00BA784D" w:rsidRDefault="0036612A">
      <w:pPr>
        <w:widowControl/>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9.Programa de capacitación para el personal en materia de derechos humanos, igualdad, género y no discriminación</w:t>
      </w:r>
    </w:p>
    <w:p w14:paraId="2E790E21" w14:textId="77777777" w:rsidR="00E35B30" w:rsidRPr="00BA784D" w:rsidRDefault="0036612A">
      <w:pPr>
        <w:widowControl/>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10.Protocolos de actuación para atender a grupos en situación de vulnerabilidad</w:t>
      </w:r>
    </w:p>
    <w:p w14:paraId="751FC5CD" w14:textId="77777777" w:rsidR="00E35B30" w:rsidRPr="00BA784D" w:rsidRDefault="0036612A">
      <w:pPr>
        <w:widowControl/>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11.Elaboración de diagnósticos en materia de igualdad y no discriminación</w:t>
      </w:r>
    </w:p>
    <w:p w14:paraId="5EF4440E" w14:textId="77777777" w:rsidR="00E35B30" w:rsidRPr="00BA784D" w:rsidRDefault="0036612A">
      <w:pPr>
        <w:widowControl/>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12.Otro tipo de medidas</w:t>
      </w:r>
    </w:p>
    <w:p w14:paraId="5BE3AD38" w14:textId="13F8A999"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Conforme a cada una de las 17 categorías de sujetos obligados establecidas en el CNTAI</w:t>
      </w:r>
      <w:r w:rsidR="000A0337" w:rsidRPr="00BA784D">
        <w:rPr>
          <w:rFonts w:ascii="Times New Roman" w:eastAsia="Times New Roman" w:hAnsi="Times New Roman" w:cs="Times New Roman"/>
          <w:sz w:val="24"/>
          <w:szCs w:val="24"/>
        </w:rPr>
        <w:t>PPDP</w:t>
      </w:r>
      <w:r w:rsidRPr="00BA784D">
        <w:rPr>
          <w:rFonts w:ascii="Times New Roman" w:eastAsia="Times New Roman" w:hAnsi="Times New Roman" w:cs="Times New Roman"/>
          <w:sz w:val="24"/>
          <w:szCs w:val="24"/>
        </w:rPr>
        <w:t xml:space="preserve"> (Poder Ejecutivo, Municipios o demarcaciones territoriales de la Ciudad de México, Poder Legislativo, Poder Judicial, Organismos de protección de los derechos humanos, Organismos Garantes del derecho de acceso a la información y protección de datos personales, Organismos públicos electorales, Tribunal Electoral, </w:t>
      </w:r>
      <w:r w:rsidR="00A75300" w:rsidRPr="00BA784D">
        <w:rPr>
          <w:rFonts w:ascii="Times New Roman" w:eastAsia="Times New Roman" w:hAnsi="Times New Roman" w:cs="Times New Roman"/>
          <w:sz w:val="24"/>
          <w:szCs w:val="24"/>
        </w:rPr>
        <w:t>Fiscalía</w:t>
      </w:r>
      <w:r w:rsidRPr="00BA784D">
        <w:rPr>
          <w:rFonts w:ascii="Times New Roman" w:eastAsia="Times New Roman" w:hAnsi="Times New Roman" w:cs="Times New Roman"/>
          <w:sz w:val="24"/>
          <w:szCs w:val="24"/>
        </w:rPr>
        <w:t xml:space="preserve"> General, Tribunal de Justicia Administrativa, Otros Organismos Constitucionales Autónomos, Autoridades </w:t>
      </w:r>
      <w:r w:rsidRPr="00BA784D">
        <w:rPr>
          <w:rFonts w:ascii="Times New Roman" w:eastAsia="Times New Roman" w:hAnsi="Times New Roman" w:cs="Times New Roman"/>
          <w:sz w:val="24"/>
          <w:szCs w:val="24"/>
        </w:rPr>
        <w:lastRenderedPageBreak/>
        <w:t>administrativas y jurisdiccionales en materia laboral, Instituciones de educación superior públicas autónomas, Partidos políticos, Fideicomisos y fondos públicos, Sindicatos y Otros).</w:t>
      </w:r>
    </w:p>
    <w:p w14:paraId="487918E8" w14:textId="33E80F5F" w:rsidR="00E35B30" w:rsidRPr="00BA784D" w:rsidRDefault="0036612A">
      <w:pPr>
        <w:spacing w:line="360" w:lineRule="auto"/>
        <w:jc w:val="both"/>
        <w:rPr>
          <w:rFonts w:ascii="Times New Roman" w:eastAsia="Times New Roman" w:hAnsi="Times New Roman" w:cs="Times New Roman"/>
          <w:color w:val="C00000"/>
          <w:sz w:val="24"/>
          <w:szCs w:val="24"/>
        </w:rPr>
      </w:pPr>
      <w:r w:rsidRPr="00BA784D">
        <w:rPr>
          <w:rFonts w:ascii="Times New Roman" w:eastAsia="Times New Roman" w:hAnsi="Times New Roman" w:cs="Times New Roman"/>
          <w:b/>
          <w:sz w:val="24"/>
          <w:szCs w:val="24"/>
        </w:rPr>
        <w:t>NOTA DE CAUCIÓN: Tras la implementación de acciones y obtención de información que permita establecer de forma clara aspectos de mejora en las políticas de inclusión se sugiere desarrollar un nuevo indicador que permita dar seguimiento a la participación de los Organismos Garantes en dichas iniciativas.</w:t>
      </w:r>
      <w:r w:rsidRPr="00BA784D">
        <w:br w:type="page"/>
      </w:r>
    </w:p>
    <w:p w14:paraId="68BD54C5" w14:textId="77777777" w:rsidR="00E35B30" w:rsidRPr="00BA784D" w:rsidRDefault="0036612A">
      <w:pPr>
        <w:pStyle w:val="Ttulo2"/>
        <w:spacing w:line="360" w:lineRule="auto"/>
        <w:ind w:left="-28"/>
        <w:rPr>
          <w:sz w:val="24"/>
          <w:szCs w:val="24"/>
        </w:rPr>
      </w:pPr>
      <w:bookmarkStart w:id="39" w:name="_Toc102051238"/>
      <w:r w:rsidRPr="00BA784D">
        <w:rPr>
          <w:sz w:val="24"/>
          <w:szCs w:val="24"/>
        </w:rPr>
        <w:lastRenderedPageBreak/>
        <w:t>Eje Transversal C. Profesionalización y Fortalecimiento Institucional</w:t>
      </w:r>
      <w:bookmarkEnd w:id="39"/>
    </w:p>
    <w:p w14:paraId="4269F743" w14:textId="77777777"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Síntesis de la problemática identificada en el diagnóstico:</w:t>
      </w:r>
      <w:r w:rsidRPr="00BA784D">
        <w:rPr>
          <w:rFonts w:ascii="Times New Roman" w:eastAsia="Times New Roman" w:hAnsi="Times New Roman" w:cs="Times New Roman"/>
          <w:sz w:val="24"/>
          <w:szCs w:val="24"/>
        </w:rPr>
        <w:t xml:space="preserve"> Se ha hecho énfasis en la capacitación como mecanismo de profesionalización; sin embargo, es necesario complementar con el desarrollo de capacidades y procesos de evaluación del desempeño institucional, al tiempo que se hace frente a restricciones de recursos humanos y presupuestales.</w:t>
      </w:r>
    </w:p>
    <w:p w14:paraId="763F9C2E" w14:textId="6C5DFD5B" w:rsidR="00E35B30" w:rsidRPr="00BA784D" w:rsidRDefault="0036612A">
      <w:pPr>
        <w:spacing w:line="360" w:lineRule="auto"/>
        <w:jc w:val="both"/>
        <w:rPr>
          <w:rFonts w:ascii="Times New Roman" w:eastAsia="Times New Roman" w:hAnsi="Times New Roman" w:cs="Times New Roman"/>
          <w:sz w:val="24"/>
          <w:szCs w:val="24"/>
        </w:rPr>
      </w:pPr>
      <w:bookmarkStart w:id="40" w:name="_heading=h.uymsyj7s1fi9" w:colFirst="0" w:colLast="0"/>
      <w:bookmarkEnd w:id="40"/>
      <w:r w:rsidRPr="00BA784D">
        <w:rPr>
          <w:rFonts w:ascii="Times New Roman" w:eastAsia="Times New Roman" w:hAnsi="Times New Roman" w:cs="Times New Roman"/>
          <w:sz w:val="24"/>
          <w:szCs w:val="24"/>
        </w:rPr>
        <w:t>En el diagnóstico del programa se identificó el avance en elementos, mecanismos y/o esquemas de profesionalización para el personal de 14 de los Organismos Garantes de acuerdo con el CNTAI</w:t>
      </w:r>
      <w:r w:rsidR="000A0337" w:rsidRPr="00BA784D">
        <w:rPr>
          <w:rFonts w:ascii="Times New Roman" w:eastAsia="Times New Roman" w:hAnsi="Times New Roman" w:cs="Times New Roman"/>
          <w:sz w:val="24"/>
          <w:szCs w:val="24"/>
        </w:rPr>
        <w:t>PPDP</w:t>
      </w:r>
      <w:r w:rsidRPr="00BA784D">
        <w:rPr>
          <w:rFonts w:ascii="Times New Roman" w:eastAsia="Times New Roman" w:hAnsi="Times New Roman" w:cs="Times New Roman"/>
          <w:sz w:val="24"/>
          <w:szCs w:val="24"/>
        </w:rPr>
        <w:t xml:space="preserve"> de 2020, siendo los Programas de capacitación los de mayor frecuencia (12), seguidos de Servicio civil de carrera (4), actualización de perfiles de puesto (4) y mecanismos de evaluación y desempeño (4). Por lo que sigue siendo un frente importante impulsar iniciativas en este sentido.</w:t>
      </w:r>
    </w:p>
    <w:p w14:paraId="01577E8F" w14:textId="77777777" w:rsidR="00E35B30" w:rsidRPr="00BA784D" w:rsidRDefault="00E35B30">
      <w:pPr>
        <w:spacing w:line="360" w:lineRule="auto"/>
        <w:jc w:val="both"/>
        <w:rPr>
          <w:rFonts w:ascii="Times New Roman" w:eastAsia="Times New Roman" w:hAnsi="Times New Roman" w:cs="Times New Roman"/>
          <w:sz w:val="24"/>
          <w:szCs w:val="24"/>
        </w:rPr>
      </w:pPr>
      <w:bookmarkStart w:id="41" w:name="_heading=h.7kkl7qrv6mml" w:colFirst="0" w:colLast="0"/>
      <w:bookmarkEnd w:id="41"/>
    </w:p>
    <w:p w14:paraId="149EF284" w14:textId="0F7A0E9E" w:rsidR="00E35B30" w:rsidRPr="00BA784D" w:rsidRDefault="0036612A">
      <w:pPr>
        <w:widowControl/>
        <w:spacing w:before="280" w:after="280"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b/>
          <w:i/>
          <w:sz w:val="24"/>
          <w:szCs w:val="24"/>
        </w:rPr>
        <w:t>Objetivo Estratégico C.1</w:t>
      </w:r>
      <w:r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b/>
          <w:sz w:val="24"/>
          <w:szCs w:val="24"/>
        </w:rPr>
        <w:t>Fortalecer institucionalmente a los Organismos Garantes para mejorar sus capacidades en el desarrollo de una cultura de la transparencia y el acceso a la información, mediante la profesionalización</w:t>
      </w:r>
      <w:r w:rsidR="00A7146B" w:rsidRPr="00BA784D">
        <w:rPr>
          <w:rFonts w:ascii="Times New Roman" w:eastAsia="Times New Roman" w:hAnsi="Times New Roman" w:cs="Times New Roman"/>
          <w:b/>
          <w:sz w:val="24"/>
          <w:szCs w:val="24"/>
        </w:rPr>
        <w:t xml:space="preserve"> y el servicio civil de carrera</w:t>
      </w:r>
      <w:r w:rsidRPr="00BA784D">
        <w:rPr>
          <w:rFonts w:ascii="Times New Roman" w:eastAsia="Times New Roman" w:hAnsi="Times New Roman" w:cs="Times New Roman"/>
          <w:b/>
          <w:sz w:val="24"/>
          <w:szCs w:val="24"/>
        </w:rPr>
        <w:t>.</w:t>
      </w:r>
    </w:p>
    <w:p w14:paraId="30CA7F22" w14:textId="77777777" w:rsidR="00E35B30" w:rsidRPr="00BA784D" w:rsidRDefault="0036612A">
      <w:pPr>
        <w:widowControl/>
        <w:spacing w:before="280" w:after="280" w:line="360" w:lineRule="auto"/>
        <w:jc w:val="both"/>
        <w:rPr>
          <w:rFonts w:ascii="Times New Roman" w:eastAsia="Times New Roman" w:hAnsi="Times New Roman" w:cs="Times New Roman"/>
          <w:b/>
          <w:i/>
          <w:sz w:val="24"/>
          <w:szCs w:val="24"/>
        </w:rPr>
      </w:pPr>
      <w:r w:rsidRPr="00BA784D">
        <w:rPr>
          <w:rFonts w:ascii="Times New Roman" w:eastAsia="Times New Roman" w:hAnsi="Times New Roman" w:cs="Times New Roman"/>
          <w:b/>
          <w:sz w:val="24"/>
          <w:szCs w:val="24"/>
        </w:rPr>
        <w:t>Líneas de acción: Se desarrollan al interior de cada uno de los ejes temáticos con el indicador “Línea Transversal de Profesionalización y Fortalecimiento Institucional”</w:t>
      </w:r>
    </w:p>
    <w:p w14:paraId="637BFDC6" w14:textId="3F148197"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1.1.3-C Línea Transversal de Profesionalización y Fortalecimiento Institucional. </w:t>
      </w:r>
      <w:r w:rsidRPr="00BA784D">
        <w:rPr>
          <w:rFonts w:ascii="Times New Roman" w:eastAsia="Times New Roman" w:hAnsi="Times New Roman" w:cs="Times New Roman"/>
          <w:sz w:val="24"/>
          <w:szCs w:val="24"/>
        </w:rPr>
        <w:t>Articular y supervisar contenidos normativos y técnicos en materia de archivos en coordinación con las comisiones del SNT de Archivos y Gestión Documental; Capacitación, Educación y Cultura y el AGN, para su aprovechamiento en los instrumentos de capacitación del SNT establecidos en la línea de acción 2.1.1-C</w:t>
      </w:r>
      <w:r w:rsidR="00155324" w:rsidRPr="00BA784D">
        <w:rPr>
          <w:rFonts w:ascii="Times New Roman" w:eastAsia="Times New Roman" w:hAnsi="Times New Roman" w:cs="Times New Roman"/>
          <w:sz w:val="24"/>
          <w:szCs w:val="24"/>
        </w:rPr>
        <w:t xml:space="preserve"> (INAI, AGN, OGL)</w:t>
      </w:r>
      <w:r w:rsidRPr="00BA784D">
        <w:rPr>
          <w:rFonts w:ascii="Times New Roman" w:eastAsia="Times New Roman" w:hAnsi="Times New Roman" w:cs="Times New Roman"/>
          <w:sz w:val="24"/>
          <w:szCs w:val="24"/>
        </w:rPr>
        <w:t xml:space="preserve">. </w:t>
      </w:r>
    </w:p>
    <w:p w14:paraId="26C382E4" w14:textId="77777777"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35811A7A" w14:textId="001E79CA"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1.1.4-C Línea Transversal de Profesionalización y Fortalecimiento Institucional. </w:t>
      </w:r>
      <w:r w:rsidRPr="00BA784D">
        <w:rPr>
          <w:rFonts w:ascii="Times New Roman" w:eastAsia="Times New Roman" w:hAnsi="Times New Roman" w:cs="Times New Roman"/>
          <w:sz w:val="24"/>
          <w:szCs w:val="24"/>
        </w:rPr>
        <w:t xml:space="preserve">Acompañar a los sujetos obligados en la implementación de su Sistema Automatizado para la Gestión Documental y Administración de Archivos por medio </w:t>
      </w:r>
      <w:r w:rsidRPr="00BA784D">
        <w:rPr>
          <w:rFonts w:ascii="Times New Roman" w:eastAsia="Times New Roman" w:hAnsi="Times New Roman" w:cs="Times New Roman"/>
          <w:sz w:val="24"/>
          <w:szCs w:val="24"/>
        </w:rPr>
        <w:lastRenderedPageBreak/>
        <w:t>de los instrumentos de capacitación del SNT establecidos en la línea de acción 2.1.1-C, priorizando sectores o grupos de instituciones conforme su situación o avances</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34E19642" w14:textId="77777777"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4D4E36F2" w14:textId="04F2D5A2"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1.1.12-C Línea Transversal de Profesionalización y Fortalecimiento Institucional. </w:t>
      </w:r>
      <w:r w:rsidRPr="00BA784D">
        <w:rPr>
          <w:rFonts w:ascii="Times New Roman" w:eastAsia="Times New Roman" w:hAnsi="Times New Roman" w:cs="Times New Roman"/>
          <w:sz w:val="24"/>
          <w:szCs w:val="24"/>
        </w:rPr>
        <w:t>Fomentar el desarrollo de áreas operativas o adscripción de personas servidoras públicas para realizar las funciones de archivo de concentración e histórico; así como asesorías sobre procesos internos para que Organismos Garantes con pocos recursos materiales y humanos puedan cumplir con dichas funciones</w:t>
      </w:r>
      <w:r w:rsidR="00155324" w:rsidRPr="00BA784D">
        <w:rPr>
          <w:rFonts w:ascii="Times New Roman" w:eastAsia="Times New Roman" w:hAnsi="Times New Roman" w:cs="Times New Roman"/>
          <w:sz w:val="24"/>
          <w:szCs w:val="24"/>
        </w:rPr>
        <w:t xml:space="preserve"> (INAI, AGN)</w:t>
      </w:r>
      <w:r w:rsidRPr="00BA784D">
        <w:rPr>
          <w:rFonts w:ascii="Times New Roman" w:eastAsia="Times New Roman" w:hAnsi="Times New Roman" w:cs="Times New Roman"/>
          <w:sz w:val="24"/>
          <w:szCs w:val="24"/>
        </w:rPr>
        <w:t xml:space="preserve">. </w:t>
      </w:r>
    </w:p>
    <w:p w14:paraId="4C9EBB01"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0078EE15" w14:textId="7094B451" w:rsidR="00E35B30" w:rsidRPr="00BA784D" w:rsidRDefault="0036612A">
      <w:pPr>
        <w:widowControl/>
        <w:spacing w:line="360" w:lineRule="auto"/>
        <w:ind w:left="680" w:right="60"/>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t>2.1.1-C Línea Transversal de Profesionalización y Fortalecimiento Institucional. Establecer como mecanismos de capacitación del SNT para las personas del servicio público de los sujetos obligados</w:t>
      </w:r>
      <w:r w:rsidR="00155324" w:rsidRPr="00BA784D">
        <w:rPr>
          <w:rFonts w:ascii="Times New Roman" w:eastAsia="Times New Roman" w:hAnsi="Times New Roman" w:cs="Times New Roman"/>
          <w:b/>
          <w:sz w:val="24"/>
          <w:szCs w:val="24"/>
        </w:rPr>
        <w:t xml:space="preserve"> </w:t>
      </w:r>
      <w:r w:rsidR="00155324" w:rsidRPr="00BA784D">
        <w:rPr>
          <w:rFonts w:ascii="Times New Roman" w:eastAsia="Times New Roman" w:hAnsi="Times New Roman" w:cs="Times New Roman"/>
          <w:sz w:val="24"/>
          <w:szCs w:val="24"/>
        </w:rPr>
        <w:t>(INAI, OGL)</w:t>
      </w:r>
      <w:r w:rsidRPr="00BA784D">
        <w:rPr>
          <w:rFonts w:ascii="Times New Roman" w:eastAsia="Times New Roman" w:hAnsi="Times New Roman" w:cs="Times New Roman"/>
          <w:b/>
          <w:sz w:val="24"/>
          <w:szCs w:val="24"/>
        </w:rPr>
        <w:t xml:space="preserve">: </w:t>
      </w:r>
    </w:p>
    <w:p w14:paraId="3A525181" w14:textId="77777777" w:rsidR="00E35B30" w:rsidRPr="00BA784D" w:rsidRDefault="0036612A">
      <w:pPr>
        <w:widowControl/>
        <w:numPr>
          <w:ilvl w:val="0"/>
          <w:numId w:val="21"/>
        </w:numPr>
        <w:spacing w:line="360" w:lineRule="auto"/>
        <w:ind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La Red Nacional y Redes Locales por una cultura de la Transparencia y la Protección de Datos Personales,</w:t>
      </w:r>
    </w:p>
    <w:p w14:paraId="030D8C59" w14:textId="77777777" w:rsidR="00E35B30" w:rsidRPr="00BA784D" w:rsidRDefault="0036612A">
      <w:pPr>
        <w:widowControl/>
        <w:numPr>
          <w:ilvl w:val="0"/>
          <w:numId w:val="21"/>
        </w:numPr>
        <w:spacing w:line="360" w:lineRule="auto"/>
        <w:ind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El Programa de Capacitación en Transparencia, Acceso a la Información, Protección de Datos de Personales y Temas Relacionados con Alcance Nacional (PCCAN),</w:t>
      </w:r>
    </w:p>
    <w:p w14:paraId="39CDE00A" w14:textId="77777777" w:rsidR="00E35B30" w:rsidRPr="00BA784D" w:rsidRDefault="0036612A">
      <w:pPr>
        <w:widowControl/>
        <w:numPr>
          <w:ilvl w:val="0"/>
          <w:numId w:val="21"/>
        </w:numPr>
        <w:spacing w:line="360" w:lineRule="auto"/>
        <w:ind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El Centro Virtual de Formación en Acceso a la Información y Protección de Datos Personales y</w:t>
      </w:r>
    </w:p>
    <w:p w14:paraId="2A18B1D5" w14:textId="77777777" w:rsidR="00E35B30" w:rsidRPr="00BA784D" w:rsidRDefault="0036612A">
      <w:pPr>
        <w:widowControl/>
        <w:numPr>
          <w:ilvl w:val="0"/>
          <w:numId w:val="21"/>
        </w:numPr>
        <w:spacing w:line="360" w:lineRule="auto"/>
        <w:ind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Otros que considere el SNT, sus integrantes, comisiones e instancias.</w:t>
      </w:r>
    </w:p>
    <w:p w14:paraId="106B0CD4" w14:textId="77777777" w:rsidR="00E35B30" w:rsidRPr="00BA784D" w:rsidRDefault="00E35B30">
      <w:pPr>
        <w:widowControl/>
        <w:spacing w:line="360" w:lineRule="auto"/>
        <w:ind w:left="680" w:right="60"/>
        <w:jc w:val="both"/>
        <w:rPr>
          <w:rFonts w:ascii="Times New Roman" w:eastAsia="Times New Roman" w:hAnsi="Times New Roman" w:cs="Times New Roman"/>
          <w:b/>
          <w:sz w:val="24"/>
          <w:szCs w:val="24"/>
        </w:rPr>
      </w:pPr>
    </w:p>
    <w:p w14:paraId="75D7C953" w14:textId="2B1B08ED" w:rsidR="00C42346" w:rsidRPr="00BA784D" w:rsidRDefault="00C42346" w:rsidP="000A6E9D">
      <w:pPr>
        <w:widowControl/>
        <w:pBdr>
          <w:top w:val="nil"/>
          <w:left w:val="nil"/>
          <w:bottom w:val="nil"/>
          <w:right w:val="nil"/>
          <w:between w:val="nil"/>
        </w:pBdr>
        <w:spacing w:line="360" w:lineRule="auto"/>
        <w:ind w:left="680" w:right="51" w:firstLine="29"/>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2.1.8-C Línea Transversal de Profesionalización y Fortalecimiento Institucional.</w:t>
      </w:r>
      <w:r w:rsidRPr="00BA784D">
        <w:rPr>
          <w:rFonts w:ascii="Times New Roman" w:eastAsia="Times New Roman" w:hAnsi="Times New Roman" w:cs="Times New Roman"/>
          <w:sz w:val="24"/>
          <w:szCs w:val="24"/>
        </w:rPr>
        <w:t xml:space="preserve"> Impulsar el desarrollo y establecimiento de cursos, diplomados, certificaciones o posgrados en materia de acceso a la información y transparencia con Universidades, autoridades educativas de todos los niveles y Organismos Garantes</w:t>
      </w:r>
      <w:r w:rsidR="00155324" w:rsidRPr="00BA784D">
        <w:rPr>
          <w:rFonts w:ascii="Times New Roman" w:eastAsia="Times New Roman" w:hAnsi="Times New Roman" w:cs="Times New Roman"/>
          <w:sz w:val="24"/>
          <w:szCs w:val="24"/>
        </w:rPr>
        <w:t xml:space="preserve"> (INAI, OGL)</w:t>
      </w:r>
      <w:r w:rsidR="00F679C8" w:rsidRPr="00BA784D">
        <w:rPr>
          <w:rFonts w:ascii="Times New Roman" w:eastAsia="Times New Roman" w:hAnsi="Times New Roman" w:cs="Times New Roman"/>
          <w:sz w:val="24"/>
          <w:szCs w:val="24"/>
        </w:rPr>
        <w:t>.</w:t>
      </w:r>
    </w:p>
    <w:p w14:paraId="72536AB6" w14:textId="77777777" w:rsidR="00C42346" w:rsidRPr="00BA784D" w:rsidRDefault="00C42346">
      <w:pPr>
        <w:widowControl/>
        <w:spacing w:line="360" w:lineRule="auto"/>
        <w:ind w:left="680" w:right="60"/>
        <w:jc w:val="both"/>
        <w:rPr>
          <w:rFonts w:ascii="Times New Roman" w:eastAsia="Times New Roman" w:hAnsi="Times New Roman" w:cs="Times New Roman"/>
          <w:b/>
          <w:sz w:val="24"/>
          <w:szCs w:val="24"/>
        </w:rPr>
      </w:pPr>
    </w:p>
    <w:p w14:paraId="0531C82C" w14:textId="149BC315"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2.1.10-C Línea Transversal de Profesionalización y Fortalecimiento Institucional. </w:t>
      </w:r>
      <w:r w:rsidRPr="00BA784D">
        <w:rPr>
          <w:rFonts w:ascii="Times New Roman" w:eastAsia="Times New Roman" w:hAnsi="Times New Roman" w:cs="Times New Roman"/>
          <w:sz w:val="24"/>
          <w:szCs w:val="24"/>
        </w:rPr>
        <w:t xml:space="preserve">Implementar un modelo de planeación y seguimiento de resultados </w:t>
      </w:r>
      <w:r w:rsidRPr="00BA784D">
        <w:rPr>
          <w:rFonts w:ascii="Times New Roman" w:eastAsia="Times New Roman" w:hAnsi="Times New Roman" w:cs="Times New Roman"/>
          <w:sz w:val="24"/>
          <w:szCs w:val="24"/>
        </w:rPr>
        <w:lastRenderedPageBreak/>
        <w:t>institucionales de los Organismos Garantes</w:t>
      </w:r>
      <w:r w:rsidR="00B4124F" w:rsidRPr="00BA784D">
        <w:rPr>
          <w:rFonts w:ascii="Times New Roman" w:eastAsia="Times New Roman" w:hAnsi="Times New Roman" w:cs="Times New Roman"/>
          <w:sz w:val="24"/>
          <w:szCs w:val="24"/>
        </w:rPr>
        <w:t>, acorde a sus capacidades financieras, materiales y humanas</w:t>
      </w:r>
      <w:r w:rsidRPr="00BA784D">
        <w:rPr>
          <w:rFonts w:ascii="Times New Roman" w:eastAsia="Times New Roman" w:hAnsi="Times New Roman" w:cs="Times New Roman"/>
          <w:sz w:val="24"/>
          <w:szCs w:val="24"/>
        </w:rPr>
        <w:t xml:space="preserve"> para aumentar la eficacia de los recursos y capacidades destinados a las materias que competen al PROTAI, en especial para promover el ejercicio y garantía del DAI</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61D903CB" w14:textId="77777777"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5D736B58" w14:textId="10973EA0"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2.1.12-C Línea Transversal de Profesionalización y Fortalecimiento Institucional: </w:t>
      </w:r>
      <w:r w:rsidRPr="00BA784D">
        <w:rPr>
          <w:rFonts w:ascii="Times New Roman" w:eastAsia="Times New Roman" w:hAnsi="Times New Roman" w:cs="Times New Roman"/>
          <w:sz w:val="24"/>
          <w:szCs w:val="24"/>
        </w:rPr>
        <w:t>Diseñar mecanismos de selección y reclutamiento de personal a partir de perfiles de puestos actualizados y diseñados curricularmente para cubrir las necesidades en materia del DAI</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055D1067" w14:textId="77777777" w:rsidR="00A70593" w:rsidRPr="00BA784D" w:rsidRDefault="00A70593">
      <w:pPr>
        <w:widowControl/>
        <w:spacing w:line="360" w:lineRule="auto"/>
        <w:ind w:left="680" w:right="60"/>
        <w:jc w:val="both"/>
        <w:rPr>
          <w:rFonts w:ascii="Times New Roman" w:eastAsia="Times New Roman" w:hAnsi="Times New Roman" w:cs="Times New Roman"/>
          <w:sz w:val="24"/>
          <w:szCs w:val="24"/>
        </w:rPr>
      </w:pPr>
    </w:p>
    <w:p w14:paraId="5EFEDC1E" w14:textId="5B3D307B" w:rsidR="005A24AE" w:rsidRPr="00BA784D" w:rsidRDefault="005A24AE" w:rsidP="000A6E9D">
      <w:pPr>
        <w:widowControl/>
        <w:pBdr>
          <w:top w:val="nil"/>
          <w:left w:val="nil"/>
          <w:bottom w:val="nil"/>
          <w:right w:val="nil"/>
          <w:between w:val="nil"/>
        </w:pBdr>
        <w:spacing w:line="360" w:lineRule="auto"/>
        <w:ind w:left="680" w:right="51" w:firstLine="29"/>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2.1.22-C </w:t>
      </w:r>
      <w:r w:rsidRPr="00BA784D">
        <w:rPr>
          <w:rFonts w:ascii="Times New Roman" w:eastAsia="Times New Roman" w:hAnsi="Times New Roman" w:cs="Times New Roman"/>
          <w:b/>
          <w:bCs/>
          <w:sz w:val="24"/>
          <w:szCs w:val="24"/>
        </w:rPr>
        <w:t>Línea Transversal de Profesionalización y Fortalecimiento Institucional</w:t>
      </w:r>
      <w:r w:rsidRPr="00BA784D">
        <w:rPr>
          <w:rFonts w:ascii="Times New Roman" w:eastAsia="Times New Roman" w:hAnsi="Times New Roman" w:cs="Times New Roman"/>
          <w:sz w:val="24"/>
          <w:szCs w:val="24"/>
        </w:rPr>
        <w:t>. Establecer normas y procedimientos que sienten las bases para la organización, funcionamiento y desarrollo de un Sistema de Servicio Profesional de Carrera o equivalente en los Organismos Garantes que garantice la capacitación, profesionalización y especialización de sus servidoras y servidores públicos, para fortalecer así la garantía del DAI</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38451D95" w14:textId="26126CA7" w:rsidR="00A70593" w:rsidRPr="00BA784D" w:rsidRDefault="00A70593" w:rsidP="00AA15E9">
      <w:pPr>
        <w:widowControl/>
        <w:spacing w:line="360" w:lineRule="auto"/>
        <w:ind w:right="60"/>
        <w:jc w:val="both"/>
        <w:rPr>
          <w:rFonts w:ascii="Times New Roman" w:eastAsia="Times New Roman" w:hAnsi="Times New Roman" w:cs="Times New Roman"/>
          <w:sz w:val="24"/>
          <w:szCs w:val="24"/>
        </w:rPr>
      </w:pPr>
    </w:p>
    <w:p w14:paraId="3EDC791C" w14:textId="570CEAB1"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3.1.3-C Línea Transversal de Profesionalización y Fortalecimiento Institucional. </w:t>
      </w:r>
      <w:r w:rsidRPr="00BA784D">
        <w:rPr>
          <w:rFonts w:ascii="Times New Roman" w:eastAsia="Times New Roman" w:hAnsi="Times New Roman" w:cs="Times New Roman"/>
          <w:sz w:val="24"/>
          <w:szCs w:val="24"/>
        </w:rPr>
        <w:t>Consolidar los procesos de capacitación de las personas del servicio público y sociedad civil en materia de participación ciudadana para la toma de decisiones y fortalecer los mecanismos de Estado Abierto conforme a los esquemas desarrollados por el SNT en las líneas de acción 2.1.1-C y 2.1.5-B</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2B1EF27A"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5D48FAD9" w14:textId="15954025"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3.2.2-C Línea Transversal de Profesionalización y Fortalecimiento Institucional: </w:t>
      </w:r>
      <w:r w:rsidRPr="00BA784D">
        <w:rPr>
          <w:rFonts w:ascii="Times New Roman" w:eastAsia="Times New Roman" w:hAnsi="Times New Roman" w:cs="Times New Roman"/>
          <w:sz w:val="24"/>
          <w:szCs w:val="24"/>
        </w:rPr>
        <w:t>Actualizar, mejorar y aprovechar la infraestructura tecnológica existente al interior de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para la administración del conocimiento y la colaboración digital, a través de sistemas y esquemas tecnológicos de organización, coordinación y comunicación</w:t>
      </w:r>
      <w:r w:rsidR="00155324" w:rsidRPr="00BA784D">
        <w:rPr>
          <w:rFonts w:ascii="Times New Roman" w:eastAsia="Times New Roman" w:hAnsi="Times New Roman" w:cs="Times New Roman"/>
          <w:sz w:val="24"/>
          <w:szCs w:val="24"/>
        </w:rPr>
        <w:t xml:space="preserve"> (INAI, AGN,</w:t>
      </w:r>
      <w:r w:rsidR="00A75300">
        <w:rPr>
          <w:rFonts w:ascii="Times New Roman" w:eastAsia="Times New Roman" w:hAnsi="Times New Roman" w:cs="Times New Roman"/>
          <w:sz w:val="24"/>
          <w:szCs w:val="24"/>
        </w:rPr>
        <w:t xml:space="preserve"> </w:t>
      </w:r>
      <w:r w:rsidR="00155324" w:rsidRPr="00BA784D">
        <w:rPr>
          <w:rFonts w:ascii="Times New Roman" w:eastAsia="Times New Roman" w:hAnsi="Times New Roman" w:cs="Times New Roman"/>
          <w:sz w:val="24"/>
          <w:szCs w:val="24"/>
        </w:rPr>
        <w:t>ASF, OGL)</w:t>
      </w:r>
      <w:r w:rsidRPr="00BA784D">
        <w:rPr>
          <w:rFonts w:ascii="Times New Roman" w:eastAsia="Times New Roman" w:hAnsi="Times New Roman" w:cs="Times New Roman"/>
          <w:sz w:val="24"/>
          <w:szCs w:val="24"/>
        </w:rPr>
        <w:t>.</w:t>
      </w:r>
    </w:p>
    <w:p w14:paraId="53CC5071"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6036D152" w14:textId="34754C48"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lastRenderedPageBreak/>
        <w:t xml:space="preserve">3.2.7-C Línea Transversal de Profesionalización y Fortalecimiento Institucional: </w:t>
      </w:r>
      <w:r w:rsidRPr="00BA784D">
        <w:rPr>
          <w:rFonts w:ascii="Times New Roman" w:eastAsia="Times New Roman" w:hAnsi="Times New Roman" w:cs="Times New Roman"/>
          <w:sz w:val="24"/>
          <w:szCs w:val="24"/>
        </w:rPr>
        <w:t>Consolidar el soporte técnico, esquemas de seguridad y mecanismos de emergencia de la PNT</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32092190" w14:textId="77777777" w:rsidR="00E35B30" w:rsidRPr="00BA784D" w:rsidRDefault="0036612A">
      <w:pPr>
        <w:widowControl/>
        <w:spacing w:line="360" w:lineRule="auto"/>
        <w:ind w:left="680" w:right="60"/>
        <w:jc w:val="both"/>
        <w:rPr>
          <w:rFonts w:ascii="Times New Roman" w:eastAsia="Times New Roman" w:hAnsi="Times New Roman" w:cs="Times New Roman"/>
          <w:b/>
          <w:sz w:val="24"/>
          <w:szCs w:val="24"/>
        </w:rPr>
      </w:pPr>
      <w:r w:rsidRPr="00BA784D">
        <w:rPr>
          <w:rFonts w:ascii="Times New Roman" w:eastAsia="Times New Roman" w:hAnsi="Times New Roman" w:cs="Times New Roman"/>
          <w:sz w:val="24"/>
          <w:szCs w:val="24"/>
        </w:rPr>
        <w:t xml:space="preserve"> </w:t>
      </w:r>
    </w:p>
    <w:p w14:paraId="235964EF" w14:textId="7CF247B3"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3.2.8-C Línea Transversal de Profesionalización y Fortalecimiento Institucional. </w:t>
      </w:r>
      <w:r w:rsidRPr="00BA784D">
        <w:rPr>
          <w:rFonts w:ascii="Times New Roman" w:eastAsia="Times New Roman" w:hAnsi="Times New Roman" w:cs="Times New Roman"/>
          <w:sz w:val="24"/>
          <w:szCs w:val="24"/>
        </w:rPr>
        <w:t>Consolidar los procesos de capacitación de las personas del servicio público para una adecuada administración de la PNT conforme a los esquemas desarrollados por el SNT en la línea de acción 2.1.1-C</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3781F393"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0F6A2493" w14:textId="2C800525"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3.3.7-C Línea Transversal de Profesionalización y Fortalecimiento Institucional. </w:t>
      </w:r>
      <w:r w:rsidRPr="00BA784D">
        <w:rPr>
          <w:rFonts w:ascii="Times New Roman" w:eastAsia="Times New Roman" w:hAnsi="Times New Roman" w:cs="Times New Roman"/>
          <w:sz w:val="24"/>
          <w:szCs w:val="24"/>
        </w:rPr>
        <w:t>Consolidar los procesos de capacitación de las personas del servicio público y sociedad civil en las acciones de Transparencia Proactiva conforme a los esquemas desarrollados por el SNT (líneas de acción 2.1.1-C y 2.1.5-B)</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7609CA87"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70ABA6E9" w14:textId="775E331B"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3.4.3-C Línea Transversal de Profesionalización y Fortalecimiento Institucional. </w:t>
      </w:r>
      <w:r w:rsidRPr="00BA784D">
        <w:rPr>
          <w:rFonts w:ascii="Times New Roman" w:eastAsia="Times New Roman" w:hAnsi="Times New Roman" w:cs="Times New Roman"/>
          <w:sz w:val="24"/>
          <w:szCs w:val="24"/>
        </w:rPr>
        <w:t xml:space="preserve">Diseñar los programas de acompañamiento a los sujetos obligados y formular contenidos de capacitación en las dimensiones Portales de </w:t>
      </w:r>
      <w:r w:rsidR="00404DD0" w:rsidRPr="00BA784D">
        <w:rPr>
          <w:rFonts w:ascii="Times New Roman" w:eastAsia="Times New Roman" w:hAnsi="Times New Roman" w:cs="Times New Roman"/>
          <w:sz w:val="24"/>
          <w:szCs w:val="24"/>
        </w:rPr>
        <w:t>T</w:t>
      </w:r>
      <w:r w:rsidRPr="00BA784D">
        <w:rPr>
          <w:rFonts w:ascii="Times New Roman" w:eastAsia="Times New Roman" w:hAnsi="Times New Roman" w:cs="Times New Roman"/>
          <w:sz w:val="24"/>
          <w:szCs w:val="24"/>
        </w:rPr>
        <w:t>ransparencia y Respuestas a Solicitudes de Información, para que los Organismos Garantes por medio de un canal de comunicación permanente brinden acompañamiento y soporte técnico a los Sujetos Obligados para el cumplimiento del marco normativo en transparencia y acceso a la información</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042F1AE1" w14:textId="77777777" w:rsidR="00E35B30" w:rsidRPr="00BA784D" w:rsidRDefault="0036612A">
      <w:pPr>
        <w:widowControl/>
        <w:spacing w:line="360" w:lineRule="auto"/>
        <w:ind w:left="720" w:right="62"/>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Las temáticas formuladas deberán considerarse en los instrumentos de capacitación establecidos por el SNT en la línea de acción 2.1.1-C.</w:t>
      </w:r>
    </w:p>
    <w:p w14:paraId="1E26E250" w14:textId="77777777"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54C4CFDB" w14:textId="75F7005D"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3.4.4-C. Línea Transversal de Profesionalización y Fortalecimiento Institucional.</w:t>
      </w:r>
      <w:r w:rsidRPr="00BA784D">
        <w:rPr>
          <w:rFonts w:ascii="Times New Roman" w:eastAsia="Times New Roman" w:hAnsi="Times New Roman" w:cs="Times New Roman"/>
          <w:sz w:val="24"/>
          <w:szCs w:val="24"/>
        </w:rPr>
        <w:t xml:space="preserve"> Impulsar el desarrollo de los estándares de competencia laboral para certificar las competencias de los verificadores de los Órganos Garantes en el uso de herramientas y criterios de cada dimensión de evaluación de las obligaciones de transparencia y acceso a la información en sujetos obligados (Portales, Respuestas a Solicitudes de Información, Unidades de Transparencia y Capacitación); así como implementar la certificación referida</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1D66F8A0"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 xml:space="preserve"> </w:t>
      </w:r>
    </w:p>
    <w:p w14:paraId="125CD377" w14:textId="27EA11B5"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3.5.7-C Línea Transversal de Profesionalización y Fortalecimiento Institucional. </w:t>
      </w:r>
      <w:r w:rsidRPr="00BA784D">
        <w:rPr>
          <w:rFonts w:ascii="Times New Roman" w:eastAsia="Times New Roman" w:hAnsi="Times New Roman" w:cs="Times New Roman"/>
          <w:sz w:val="24"/>
          <w:szCs w:val="24"/>
        </w:rPr>
        <w:t>Desarrollar contenidos y acciones de capacitación de las personas del servicio público y sociedad civil para impulsar la generación de iniciativas de Datos Abiertos conforme a los esquemas desarrollados por el SNT (líneas de acción 2.1.1-C y 2.1.5-B)</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0E293EB2"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5F56EA8F" w14:textId="73DB7B8E"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4.1.3-C Línea Transversal de Profesionalización y Fortalecimiento Institucional. </w:t>
      </w:r>
      <w:r w:rsidRPr="00BA784D">
        <w:rPr>
          <w:rFonts w:ascii="Times New Roman" w:eastAsia="Times New Roman" w:hAnsi="Times New Roman" w:cs="Times New Roman"/>
          <w:sz w:val="24"/>
          <w:szCs w:val="24"/>
        </w:rPr>
        <w:t>Consolidar el uso de la Herramienta de Autoevaluación de la Integridad (INTOSAINT) en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e implementar las acciones derivadas del análisis de riesgo</w:t>
      </w:r>
      <w:r w:rsidR="00155324" w:rsidRPr="00BA784D">
        <w:rPr>
          <w:rFonts w:ascii="Times New Roman" w:eastAsia="Times New Roman" w:hAnsi="Times New Roman" w:cs="Times New Roman"/>
          <w:sz w:val="24"/>
          <w:szCs w:val="24"/>
        </w:rPr>
        <w:t xml:space="preserve"> (INAI, ASF, OGL)</w:t>
      </w:r>
      <w:r w:rsidRPr="00BA784D">
        <w:rPr>
          <w:rFonts w:ascii="Times New Roman" w:eastAsia="Times New Roman" w:hAnsi="Times New Roman" w:cs="Times New Roman"/>
          <w:sz w:val="24"/>
          <w:szCs w:val="24"/>
        </w:rPr>
        <w:t>.</w:t>
      </w:r>
    </w:p>
    <w:p w14:paraId="24715D1F" w14:textId="77777777" w:rsidR="00E35B30" w:rsidRPr="00BA784D" w:rsidRDefault="00E35B30">
      <w:pPr>
        <w:widowControl/>
        <w:spacing w:line="360" w:lineRule="auto"/>
        <w:ind w:left="680" w:right="60"/>
        <w:jc w:val="both"/>
        <w:rPr>
          <w:rFonts w:ascii="Times New Roman" w:eastAsia="Times New Roman" w:hAnsi="Times New Roman" w:cs="Times New Roman"/>
          <w:sz w:val="24"/>
          <w:szCs w:val="24"/>
        </w:rPr>
      </w:pPr>
    </w:p>
    <w:p w14:paraId="2C0E3AB1" w14:textId="62A9EC6D"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4.1.4-C Línea Transversal de Profesionalización y Fortalecimiento Institucional. </w:t>
      </w:r>
      <w:r w:rsidRPr="00BA784D">
        <w:rPr>
          <w:rFonts w:ascii="Times New Roman" w:eastAsia="Times New Roman" w:hAnsi="Times New Roman" w:cs="Times New Roman"/>
          <w:sz w:val="24"/>
          <w:szCs w:val="24"/>
        </w:rPr>
        <w:t>Desarrollar e implementar en el marco del SNT un modelo de Rendición de Cuentas con personas usuarias y actores sociales relevantes para los Organismos Garantes que pueda ser incluido en los planes y programas institucionales de sus integrantes</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38EE5644" w14:textId="77777777" w:rsidR="00E35B30" w:rsidRPr="00BA784D" w:rsidRDefault="00E35B30">
      <w:pPr>
        <w:widowControl/>
        <w:spacing w:line="360" w:lineRule="auto"/>
        <w:ind w:left="680" w:right="60"/>
        <w:jc w:val="both"/>
        <w:rPr>
          <w:rFonts w:ascii="Times New Roman" w:eastAsia="Times New Roman" w:hAnsi="Times New Roman" w:cs="Times New Roman"/>
          <w:sz w:val="24"/>
          <w:szCs w:val="24"/>
        </w:rPr>
      </w:pPr>
    </w:p>
    <w:p w14:paraId="2A7050DC" w14:textId="7BA05A4C"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4.1.5-C Línea Transversal de Profesionalización y Fortalecimiento Institucional. </w:t>
      </w:r>
      <w:r w:rsidRPr="00BA784D">
        <w:rPr>
          <w:rFonts w:ascii="Times New Roman" w:eastAsia="Times New Roman" w:hAnsi="Times New Roman" w:cs="Times New Roman"/>
          <w:sz w:val="24"/>
          <w:szCs w:val="24"/>
        </w:rPr>
        <w:t>Implementar el modelo de planeación y seguimiento de resultados institucionales de los Organismos Garantes señalado en la línea de acción 2.1.10-C para mejorar la rendición de cuentas del desempeño institucional y la eficacia de los recursos y capacidades de los Organismos Garantes</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31DADFD0" w14:textId="77777777" w:rsidR="00E35B30" w:rsidRPr="00BA784D" w:rsidRDefault="00E35B30">
      <w:pPr>
        <w:widowControl/>
        <w:spacing w:line="360" w:lineRule="auto"/>
        <w:ind w:left="680" w:right="60"/>
        <w:jc w:val="both"/>
        <w:rPr>
          <w:rFonts w:ascii="Times New Roman" w:eastAsia="Times New Roman" w:hAnsi="Times New Roman" w:cs="Times New Roman"/>
          <w:sz w:val="24"/>
          <w:szCs w:val="24"/>
        </w:rPr>
      </w:pPr>
    </w:p>
    <w:p w14:paraId="34C90AE0" w14:textId="530CFE09"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4.1.6-C Línea Transversal de Profesionalización y Fortalecimiento Institucional. </w:t>
      </w:r>
      <w:r w:rsidRPr="00BA784D">
        <w:rPr>
          <w:rFonts w:ascii="Times New Roman" w:eastAsia="Times New Roman" w:hAnsi="Times New Roman" w:cs="Times New Roman"/>
          <w:sz w:val="24"/>
          <w:szCs w:val="24"/>
        </w:rPr>
        <w:t>Desarrollar contenidos, criterios y recomendaciones en materia de rendición de cuentas y combate a la corrupción en su vinculación con la transparencia y el acceso a la información; así como articular sus contenidos con los instrumentos de capacitación del SNT conforme a la línea de acción 2.1.1-C</w:t>
      </w:r>
      <w:r w:rsidR="00155324" w:rsidRPr="00BA784D">
        <w:rPr>
          <w:rFonts w:ascii="Times New Roman" w:eastAsia="Times New Roman" w:hAnsi="Times New Roman" w:cs="Times New Roman"/>
          <w:sz w:val="24"/>
          <w:szCs w:val="24"/>
        </w:rPr>
        <w:t xml:space="preserve"> (INAI, ASF, OGL)</w:t>
      </w:r>
      <w:r w:rsidRPr="00BA784D">
        <w:rPr>
          <w:rFonts w:ascii="Times New Roman" w:eastAsia="Times New Roman" w:hAnsi="Times New Roman" w:cs="Times New Roman"/>
          <w:sz w:val="24"/>
          <w:szCs w:val="24"/>
        </w:rPr>
        <w:t>.</w:t>
      </w:r>
    </w:p>
    <w:p w14:paraId="1FB304D3"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31CCD723" w14:textId="2EC94EA2"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lastRenderedPageBreak/>
        <w:t xml:space="preserve">4.1.12-C Línea Transversal de Profesionalización y Fortalecimiento Institucional. </w:t>
      </w:r>
      <w:r w:rsidRPr="00BA784D">
        <w:rPr>
          <w:rFonts w:ascii="Times New Roman" w:eastAsia="Times New Roman" w:hAnsi="Times New Roman" w:cs="Times New Roman"/>
          <w:sz w:val="24"/>
          <w:szCs w:val="24"/>
        </w:rPr>
        <w:t>Incluir dentro del Programa de Capacitación en Transparencia, Acceso a la Información, Protección de Datos Personales, temas relacionados con ética e integridad pública, rendición de cuentas y conflicto de intereses en coordinación con los instrumentos de capacitación del SNT establecidos en la línea de acción 2.1.1-C</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1A66344E"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5DF15EF7" w14:textId="55E98765"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5.1.5-C Línea Transversal de Profesionalización y Fortalecimiento Institucional.</w:t>
      </w:r>
      <w:r w:rsidRPr="00BA784D">
        <w:rPr>
          <w:rFonts w:ascii="Times New Roman" w:eastAsia="Times New Roman" w:hAnsi="Times New Roman" w:cs="Times New Roman"/>
          <w:sz w:val="24"/>
          <w:szCs w:val="24"/>
        </w:rPr>
        <w:t xml:space="preserve"> Fortalecer el uso de metodologías y diseñar herramientas para simplificar y coordinar el proceso interno de gestión de solicitudes de acceso a la información entre las unidades administrativas, el Comité de Transparencia y la Unidad de Transparencia de los sujetos obligados</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0FD50047" w14:textId="77777777"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79784F66" w14:textId="461FF464"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5.1.6-C Línea Transversal de Profesionalización y Fortalecimiento Institucional.</w:t>
      </w:r>
      <w:r w:rsidRPr="00BA784D">
        <w:rPr>
          <w:rFonts w:ascii="Times New Roman" w:eastAsia="Times New Roman" w:hAnsi="Times New Roman" w:cs="Times New Roman"/>
          <w:sz w:val="24"/>
          <w:szCs w:val="24"/>
        </w:rPr>
        <w:t xml:space="preserve"> Incluir, en las actividades desarrolladas de la línea 2.1.8-C, temáticas de la actividad materialmente jurisdiccional a fin de promover la profesionalización de las personas funcionari</w:t>
      </w:r>
      <w:r w:rsidR="008B209A"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 de Organismos Garantes y responsables</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178AF152" w14:textId="77777777"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4858949B" w14:textId="1093AE46"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5.1.7-C Línea Transversal de Profesionalización y Fortalecimiento Institucional.</w:t>
      </w:r>
      <w:r w:rsidRPr="00BA784D">
        <w:rPr>
          <w:rFonts w:ascii="Times New Roman" w:eastAsia="Times New Roman" w:hAnsi="Times New Roman" w:cs="Times New Roman"/>
          <w:sz w:val="24"/>
          <w:szCs w:val="24"/>
        </w:rPr>
        <w:t xml:space="preserve"> Difundir contenidos respecto de la actividad materialmente jurisdiccional de los Organismos Garantes en los instrumentos de capacitación del SNT (como el PCCAN y el CVFAIP) establecidos en la línea de acción 2.1.1-C</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 xml:space="preserve">. </w:t>
      </w:r>
    </w:p>
    <w:p w14:paraId="0949D288" w14:textId="77777777"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701E652C" w14:textId="525C194C" w:rsidR="00E35B30" w:rsidRPr="00BA784D" w:rsidRDefault="0036612A">
      <w:pPr>
        <w:widowControl/>
        <w:spacing w:line="360" w:lineRule="auto"/>
        <w:ind w:left="680" w:right="6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5.1.8-C Línea Transversal de Profesionalización y Fortalecimiento Institucional: </w:t>
      </w:r>
      <w:r w:rsidRPr="00BA784D">
        <w:rPr>
          <w:rFonts w:ascii="Times New Roman" w:eastAsia="Times New Roman" w:hAnsi="Times New Roman" w:cs="Times New Roman"/>
          <w:sz w:val="24"/>
          <w:szCs w:val="24"/>
        </w:rPr>
        <w:t>Considerar en el modelo de planeación y seguimiento de resultados institucionales de los Organismos Garantes, planteado en la línea de acción 2.1.10-C, indicadores y herramientas para valorar su desempeño en su actividad materialmente jurisdiccional</w:t>
      </w:r>
      <w:r w:rsidR="00155324" w:rsidRPr="00BA784D">
        <w:rPr>
          <w:rFonts w:ascii="Times New Roman" w:eastAsia="Times New Roman" w:hAnsi="Times New Roman" w:cs="Times New Roman"/>
          <w:sz w:val="24"/>
          <w:szCs w:val="24"/>
        </w:rPr>
        <w:t xml:space="preserve"> (INAI, OGL)</w:t>
      </w:r>
      <w:r w:rsidRPr="00BA784D">
        <w:rPr>
          <w:rFonts w:ascii="Times New Roman" w:eastAsia="Times New Roman" w:hAnsi="Times New Roman" w:cs="Times New Roman"/>
          <w:sz w:val="24"/>
          <w:szCs w:val="24"/>
        </w:rPr>
        <w:t>.</w:t>
      </w:r>
    </w:p>
    <w:p w14:paraId="3A7A20B0" w14:textId="7A44D594" w:rsidR="00F81866" w:rsidRPr="00BA784D" w:rsidRDefault="00F81866">
      <w:pPr>
        <w:widowControl/>
        <w:spacing w:line="360" w:lineRule="auto"/>
        <w:ind w:left="680" w:right="60"/>
        <w:jc w:val="both"/>
        <w:rPr>
          <w:rFonts w:ascii="Times New Roman" w:eastAsia="Times New Roman" w:hAnsi="Times New Roman" w:cs="Times New Roman"/>
          <w:sz w:val="24"/>
          <w:szCs w:val="24"/>
        </w:rPr>
      </w:pPr>
    </w:p>
    <w:p w14:paraId="3DC28035" w14:textId="77777777" w:rsidR="00F81866" w:rsidRPr="00BA784D" w:rsidRDefault="00F81866">
      <w:pPr>
        <w:widowControl/>
        <w:spacing w:line="360" w:lineRule="auto"/>
        <w:ind w:left="680" w:right="60"/>
        <w:jc w:val="both"/>
        <w:rPr>
          <w:rFonts w:ascii="Times New Roman" w:eastAsia="Times New Roman" w:hAnsi="Times New Roman" w:cs="Times New Roman"/>
          <w:sz w:val="24"/>
          <w:szCs w:val="24"/>
        </w:rPr>
      </w:pPr>
    </w:p>
    <w:p w14:paraId="591C4AE9" w14:textId="5F643F21" w:rsidR="00E35B30" w:rsidRPr="00BA784D" w:rsidRDefault="0036612A">
      <w:pPr>
        <w:widowControl/>
        <w:spacing w:before="280" w:after="280" w:line="360" w:lineRule="auto"/>
        <w:jc w:val="both"/>
        <w:rPr>
          <w:rFonts w:ascii="Times New Roman" w:eastAsia="Times New Roman" w:hAnsi="Times New Roman" w:cs="Times New Roman"/>
          <w:b/>
          <w:i/>
          <w:sz w:val="24"/>
          <w:szCs w:val="24"/>
        </w:rPr>
      </w:pPr>
      <w:r w:rsidRPr="00BA784D">
        <w:rPr>
          <w:rFonts w:ascii="Times New Roman" w:eastAsia="Times New Roman" w:hAnsi="Times New Roman" w:cs="Times New Roman"/>
          <w:b/>
          <w:sz w:val="24"/>
          <w:szCs w:val="24"/>
        </w:rPr>
        <w:lastRenderedPageBreak/>
        <w:t>Estrategias:</w:t>
      </w:r>
      <w:r w:rsidRPr="00BA784D">
        <w:rPr>
          <w:rFonts w:ascii="Times New Roman" w:eastAsia="Times New Roman" w:hAnsi="Times New Roman" w:cs="Times New Roman"/>
          <w:sz w:val="24"/>
          <w:szCs w:val="24"/>
        </w:rPr>
        <w:t xml:space="preserve"> Socialización / Coordinación / Capacitación / PNT y TIC</w:t>
      </w:r>
      <w:r w:rsidR="00A75300">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s / Mejora Regulatoria / Inclusión / Comunicación</w:t>
      </w:r>
      <w:r w:rsidRPr="00BA784D">
        <w:rPr>
          <w:rFonts w:ascii="Times New Roman" w:eastAsia="Times New Roman" w:hAnsi="Times New Roman" w:cs="Times New Roman"/>
          <w:b/>
          <w:i/>
          <w:sz w:val="24"/>
          <w:szCs w:val="24"/>
        </w:rPr>
        <w:t xml:space="preserve"> </w:t>
      </w:r>
    </w:p>
    <w:p w14:paraId="2D72A549" w14:textId="77777777"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Indicador de Resultado: </w:t>
      </w:r>
      <w:r w:rsidRPr="00BA784D">
        <w:rPr>
          <w:rFonts w:ascii="Times New Roman" w:eastAsia="Times New Roman" w:hAnsi="Times New Roman" w:cs="Times New Roman"/>
          <w:sz w:val="24"/>
          <w:szCs w:val="24"/>
        </w:rPr>
        <w:t xml:space="preserve">Índice de fortalezas institucionales en los Organismos Garantes </w:t>
      </w:r>
    </w:p>
    <w:p w14:paraId="223BB6CA" w14:textId="480C16D8" w:rsidR="00E35B30" w:rsidRPr="00BA784D" w:rsidRDefault="0036612A">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Línea Base:</w:t>
      </w:r>
      <w:r w:rsidRPr="00BA784D">
        <w:rPr>
          <w:rFonts w:ascii="Times New Roman" w:eastAsia="Times New Roman" w:hAnsi="Times New Roman" w:cs="Times New Roman"/>
          <w:sz w:val="24"/>
          <w:szCs w:val="24"/>
        </w:rPr>
        <w:t xml:space="preserve"> </w:t>
      </w:r>
      <w:r w:rsidR="008E2BF9" w:rsidRPr="00BA784D">
        <w:rPr>
          <w:rFonts w:ascii="Times New Roman" w:eastAsia="Times New Roman" w:hAnsi="Times New Roman" w:cs="Times New Roman"/>
          <w:sz w:val="24"/>
          <w:szCs w:val="24"/>
        </w:rPr>
        <w:t>58.50</w:t>
      </w:r>
      <w:r w:rsidRPr="00BA784D">
        <w:rPr>
          <w:rFonts w:ascii="Times New Roman" w:eastAsia="Times New Roman" w:hAnsi="Times New Roman" w:cs="Times New Roman"/>
          <w:sz w:val="24"/>
          <w:szCs w:val="24"/>
        </w:rPr>
        <w:t>%, CNTAI</w:t>
      </w:r>
      <w:r w:rsidR="000A0337" w:rsidRPr="00BA784D">
        <w:rPr>
          <w:rFonts w:ascii="Times New Roman" w:eastAsia="Times New Roman" w:hAnsi="Times New Roman" w:cs="Times New Roman"/>
          <w:sz w:val="24"/>
          <w:szCs w:val="24"/>
        </w:rPr>
        <w:t>PPDPF y CNTAIPPDPE</w:t>
      </w:r>
      <w:r w:rsidRPr="00BA784D">
        <w:rPr>
          <w:rFonts w:ascii="Times New Roman" w:eastAsia="Times New Roman" w:hAnsi="Times New Roman" w:cs="Times New Roman"/>
          <w:sz w:val="24"/>
          <w:szCs w:val="24"/>
        </w:rPr>
        <w:t xml:space="preserve"> 2020</w:t>
      </w:r>
    </w:p>
    <w:p w14:paraId="67E031FB" w14:textId="12D540F3"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Este indicador busca a partir del CNTAI</w:t>
      </w:r>
      <w:r w:rsidR="000A0337" w:rsidRPr="00BA784D">
        <w:rPr>
          <w:rFonts w:ascii="Times New Roman" w:eastAsia="Times New Roman" w:hAnsi="Times New Roman" w:cs="Times New Roman"/>
          <w:sz w:val="24"/>
          <w:szCs w:val="24"/>
        </w:rPr>
        <w:t>PPDP</w:t>
      </w:r>
      <w:r w:rsidRPr="00BA784D">
        <w:rPr>
          <w:rFonts w:ascii="Times New Roman" w:eastAsia="Times New Roman" w:hAnsi="Times New Roman" w:cs="Times New Roman"/>
          <w:sz w:val="24"/>
          <w:szCs w:val="24"/>
        </w:rPr>
        <w:t xml:space="preserve"> medir la existencia de elementos de planeación y evaluación, así como elementos de desarrollo de una cultura para la profesionalización de la transparencia y el acceso a la información; componentes que al encontrarse en los Organismos Garantes denotan desarrollo institucional.</w:t>
      </w:r>
    </w:p>
    <w:p w14:paraId="1EEA58C8"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El primer componente se refiere a los elementos de evaluación institucional reportados por los Organismos Garantes. Se incluyen 4 elementos:</w:t>
      </w:r>
    </w:p>
    <w:p w14:paraId="1F5CA808" w14:textId="77777777" w:rsidR="00E35B30" w:rsidRPr="00BA784D" w:rsidRDefault="0036612A">
      <w:pPr>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Elementos de evaluación del personal;</w:t>
      </w:r>
    </w:p>
    <w:p w14:paraId="40A6F74C" w14:textId="77777777" w:rsidR="00E35B30" w:rsidRPr="00BA784D" w:rsidRDefault="0036612A">
      <w:pPr>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Elementos de evaluación presupuestal;</w:t>
      </w:r>
    </w:p>
    <w:p w14:paraId="606A07E2" w14:textId="77777777" w:rsidR="00E35B30" w:rsidRPr="00BA784D" w:rsidRDefault="0036612A">
      <w:pPr>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Elementos de evaluación de desempeño institucional;</w:t>
      </w:r>
    </w:p>
    <w:p w14:paraId="5EBD4ACE" w14:textId="77777777" w:rsidR="00E35B30" w:rsidRPr="00BA784D" w:rsidRDefault="0036612A">
      <w:pPr>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Otros elementos de evaluación.</w:t>
      </w:r>
    </w:p>
    <w:p w14:paraId="1EEBBBA5"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548A779D"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El segundo componente se refiere a la proporción de Organismos Garantes que reportaron contar con al menos uno de los 12 elementos, mecanismos y/o esquemas de profesionalización:</w:t>
      </w:r>
    </w:p>
    <w:p w14:paraId="5F1BB799"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 Servicio Civil de Carrera;</w:t>
      </w:r>
    </w:p>
    <w:p w14:paraId="455F4232"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Reclutamiento, selección e inducción;</w:t>
      </w:r>
    </w:p>
    <w:p w14:paraId="727B5B4B"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Diseño y selección de pruebas de ingreso;</w:t>
      </w:r>
    </w:p>
    <w:p w14:paraId="016A3201"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Diseño curricular;</w:t>
      </w:r>
    </w:p>
    <w:p w14:paraId="620CF740"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Actualización de perfiles de puesto;</w:t>
      </w:r>
    </w:p>
    <w:p w14:paraId="26763682"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Diseño y validación de competencias;</w:t>
      </w:r>
    </w:p>
    <w:p w14:paraId="2015D984"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Concursos públicos y abiertos para la contratación;</w:t>
      </w:r>
    </w:p>
    <w:p w14:paraId="014670F4"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Mecanismos de evaluación del desempeño;</w:t>
      </w:r>
    </w:p>
    <w:p w14:paraId="0667E582"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Programas de capacitación;</w:t>
      </w:r>
    </w:p>
    <w:p w14:paraId="5ADC6DCA"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Evaluación de impacto de la capacitación;</w:t>
      </w:r>
    </w:p>
    <w:p w14:paraId="556CC13F"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Programas de estímulos y recompensas;</w:t>
      </w:r>
    </w:p>
    <w:p w14:paraId="483E66D4"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 Separación del servicio;</w:t>
      </w:r>
    </w:p>
    <w:p w14:paraId="1CFB9DCC"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Otros.</w:t>
      </w:r>
    </w:p>
    <w:p w14:paraId="7BE15939" w14:textId="77777777" w:rsidR="00E35B30" w:rsidRPr="00BA784D" w:rsidRDefault="00E35B30">
      <w:pPr>
        <w:spacing w:line="360" w:lineRule="auto"/>
        <w:jc w:val="both"/>
        <w:rPr>
          <w:rFonts w:ascii="Times New Roman" w:eastAsia="Times New Roman" w:hAnsi="Times New Roman" w:cs="Times New Roman"/>
          <w:sz w:val="24"/>
          <w:szCs w:val="24"/>
        </w:rPr>
      </w:pPr>
    </w:p>
    <w:p w14:paraId="0F28CFCE" w14:textId="77777777" w:rsidR="00E35B30" w:rsidRPr="00BA784D" w:rsidRDefault="00E35B30">
      <w:pPr>
        <w:widowControl/>
        <w:spacing w:line="360" w:lineRule="auto"/>
        <w:jc w:val="both"/>
        <w:rPr>
          <w:rFonts w:ascii="Times New Roman" w:eastAsia="Times New Roman" w:hAnsi="Times New Roman" w:cs="Times New Roman"/>
          <w:sz w:val="24"/>
          <w:szCs w:val="24"/>
        </w:rPr>
      </w:pPr>
    </w:p>
    <w:p w14:paraId="2BB8BB1F" w14:textId="77777777" w:rsidR="00E35B30" w:rsidRPr="00BA784D" w:rsidRDefault="0036612A">
      <w:pPr>
        <w:spacing w:line="360" w:lineRule="auto"/>
        <w:rPr>
          <w:rFonts w:ascii="Times New Roman" w:eastAsia="Times New Roman" w:hAnsi="Times New Roman" w:cs="Times New Roman"/>
          <w:sz w:val="24"/>
          <w:szCs w:val="24"/>
        </w:rPr>
      </w:pPr>
      <w:r w:rsidRPr="00BA784D">
        <w:br w:type="page"/>
      </w:r>
    </w:p>
    <w:p w14:paraId="68EF7152" w14:textId="77777777" w:rsidR="00E35B30" w:rsidRPr="00BA784D" w:rsidRDefault="0036612A">
      <w:pPr>
        <w:pStyle w:val="Ttulo2"/>
        <w:spacing w:before="200" w:line="360" w:lineRule="auto"/>
        <w:ind w:left="0" w:firstLine="20"/>
        <w:rPr>
          <w:sz w:val="24"/>
          <w:szCs w:val="24"/>
        </w:rPr>
      </w:pPr>
      <w:bookmarkStart w:id="42" w:name="_Toc102051239"/>
      <w:r w:rsidRPr="00BA784D">
        <w:rPr>
          <w:sz w:val="24"/>
          <w:szCs w:val="24"/>
        </w:rPr>
        <w:lastRenderedPageBreak/>
        <w:t>Implementación y Seguimiento del PROTAI</w:t>
      </w:r>
      <w:bookmarkEnd w:id="42"/>
    </w:p>
    <w:p w14:paraId="2B54FA97"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Las actividades por implementar en el marco del programa por cada integrante del SNT son acompañadas en su seguimiento y evaluación por la Secretaría Ejecutiva del Sistema Nacional de Transparencia, Acceso a la Información y Protección de Datos Personales, a fin de informar al propio Sistema de sus avances y oportunidades. Conforme a los Lineamientos del Programa, estos procesos se realizan de la siguiente forma:</w:t>
      </w:r>
    </w:p>
    <w:p w14:paraId="761E2AD3" w14:textId="77777777" w:rsidR="00E35B30" w:rsidRPr="00BA784D" w:rsidRDefault="0036612A">
      <w:pPr>
        <w:pStyle w:val="Ttulo3"/>
        <w:spacing w:before="200"/>
      </w:pPr>
      <w:bookmarkStart w:id="43" w:name="_Toc102051240"/>
      <w:r w:rsidRPr="00BA784D">
        <w:t>1. Ejecución</w:t>
      </w:r>
      <w:bookmarkEnd w:id="43"/>
    </w:p>
    <w:p w14:paraId="7E5DD4CA"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La ejecución del PROTAI corresponde a todas las Instituciones Integrantes del SNT, es decir, a los Organismos Garantes de las Entidades Federativas, el INAI y las instituciones federales del Sistema: ASF, INEGI e AGN; cada cual, en el marco de sus atribuciones y según lo determine el mismo Programa. Para lo anterior, de acuerdo con el numeral Trigésimo Octavo de los Lineamientos del Programa, cada Institución Integrante del SNT deberá nombrar a un Enlace, el cual mantendrá un contacto permanente con la Secretaría Ejecutiva del SNT, que permitirá dar estabilidad a los procesos del Programa, así como facilitar el intercambio de información. Dicho Enlace, debe contar con nombramiento oficial por parte del Pleno o del Titular de la Institución, según corresponda.</w:t>
      </w:r>
    </w:p>
    <w:p w14:paraId="70B93833"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Asimismo, con base al numeral Trigésimo Segundo de los Lineamientos, cada Institución Integrante se apoyará de una Ruta de Implementación Anual. Estas rutas, son los instrumentos técnicos que describen las actividades a realizar en el marco de los objetivos estratégicos y líneas de acción del Programa Nacional, que en su caso determinará cada Integrante de forma autónoma, a partir de sus Programas Anuales o procesos de planeación institucional. En el diseño e integración de las Rutas de Implementación la Secretaría Ejecutiva del SNT proporcionará la capacitación y asesoría necesaria para que reflejen de la mejor manera posible las actividades de cada integrante.</w:t>
      </w:r>
    </w:p>
    <w:p w14:paraId="07BFFAF6"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Una diferencia importante respecto al PROTAI anterior radica en el papel de los integrantes federales que no son Organismos Garantes en la implementación del programa; derivado del análisis de dicho antecedente se concluye que las principales aportaciones del AGN, la ASF y el INEGI son de carácter técnico especializado, sobre todo considerando que cada una de estas instituciones coordina al menos un Sistema Nacional en su materia y tiene participación </w:t>
      </w:r>
      <w:r w:rsidRPr="00BA784D">
        <w:rPr>
          <w:rFonts w:ascii="Times New Roman" w:eastAsia="Times New Roman" w:hAnsi="Times New Roman" w:cs="Times New Roman"/>
          <w:sz w:val="24"/>
          <w:szCs w:val="24"/>
        </w:rPr>
        <w:lastRenderedPageBreak/>
        <w:t>en varios. En este sentido, se establecieron líneas de acción orientadas a obtener la experiencia y conocimiento de dichas instituciones, así como a establecer los mecanismos de coordinación y colaboración con otros Sistemas Nacionales; asimismo, se considera que de esta manera sus aportaciones al interior de las Comisiones y demás instancias del SNT podrán ser más relacionadas con sus funciones y planes de trabajo sustantivos.</w:t>
      </w:r>
    </w:p>
    <w:p w14:paraId="6B0B763F"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Por otro lado, derivado del análisis de la implementación del anterior PROTAI, durante el 2018 y 2019 reflejado en sus modificaciones 2020, advirtió la necesidad de que las instancias del SNT puedan optar por impulsar ciertas líneas de acción que consideren necesarias, con el aval de sus integrantes; a partir de esta experiencia se consideró en el diseño del programa añadir acciones con coordinación de una o más comisiones y que pueden desarrollarse de esta forma a partir de tres posibles rutas:</w:t>
      </w:r>
    </w:p>
    <w:p w14:paraId="31C448A5"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 Inclusión en programa de trabajo del Coordinador de la instancia: </w:t>
      </w:r>
      <w:r w:rsidRPr="00BA784D">
        <w:rPr>
          <w:rFonts w:ascii="Times New Roman" w:eastAsia="Times New Roman" w:hAnsi="Times New Roman" w:cs="Times New Roman"/>
          <w:sz w:val="24"/>
          <w:szCs w:val="24"/>
        </w:rPr>
        <w:t>A partir de la adopción de determinadas iniciativas de interés o relevancia para alguna de las instancias del SNT por medio de la aprobación de su incorporación al programa de trabajo del Coordinador.</w:t>
      </w:r>
    </w:p>
    <w:p w14:paraId="5223C239"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Líder Implementador:</w:t>
      </w:r>
      <w:r w:rsidRPr="00BA784D">
        <w:rPr>
          <w:rFonts w:ascii="Times New Roman" w:eastAsia="Times New Roman" w:hAnsi="Times New Roman" w:cs="Times New Roman"/>
          <w:sz w:val="24"/>
          <w:szCs w:val="24"/>
        </w:rPr>
        <w:t xml:space="preserve"> La línea de acción se desarrollará en actividades por un integrante de la instancia. Posteriormente, compartirá con el resto de los integrantes los resultados y entregables obtenidos; con ello, el resto de las instituciones que lo estimen conveniente podrán aplicar los productos ya generados en la acción a impulsar.</w:t>
      </w:r>
    </w:p>
    <w:p w14:paraId="40DEEE35" w14:textId="77777777" w:rsidR="00E35B30" w:rsidRPr="00BA784D" w:rsidRDefault="0036612A">
      <w:pPr>
        <w:spacing w:before="200" w:line="360" w:lineRule="auto"/>
        <w:jc w:val="both"/>
        <w:rPr>
          <w:rFonts w:ascii="Times New Roman" w:eastAsia="Times New Roman" w:hAnsi="Times New Roman" w:cs="Times New Roman"/>
          <w:color w:val="C00000"/>
          <w:sz w:val="24"/>
          <w:szCs w:val="24"/>
        </w:rPr>
      </w:pPr>
      <w:r w:rsidRPr="00BA784D">
        <w:rPr>
          <w:rFonts w:ascii="Times New Roman" w:eastAsia="Times New Roman" w:hAnsi="Times New Roman" w:cs="Times New Roman"/>
          <w:sz w:val="24"/>
          <w:szCs w:val="24"/>
        </w:rPr>
        <w:t>•</w:t>
      </w:r>
      <w:r w:rsidRPr="00BA784D">
        <w:rPr>
          <w:rFonts w:ascii="Times New Roman" w:eastAsia="Times New Roman" w:hAnsi="Times New Roman" w:cs="Times New Roman"/>
          <w:b/>
          <w:sz w:val="24"/>
          <w:szCs w:val="24"/>
        </w:rPr>
        <w:t xml:space="preserve"> Implementación Complementaria.</w:t>
      </w:r>
      <w:r w:rsidRPr="00BA784D">
        <w:rPr>
          <w:rFonts w:ascii="Times New Roman" w:eastAsia="Times New Roman" w:hAnsi="Times New Roman" w:cs="Times New Roman"/>
          <w:sz w:val="24"/>
          <w:szCs w:val="24"/>
        </w:rPr>
        <w:t xml:space="preserve"> La línea de acción será desarrollada por todas las instituciones que integran la instancia y estimen conveniente participar en la línea de acción. Al cierre del periodo determinado se realiza el balance de la implementación para la identificación buenas prácticas y áreas de oportunidad.</w:t>
      </w:r>
    </w:p>
    <w:p w14:paraId="43653781"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Para el seguimiento de las acciones se crean las Pizarras de Avance, que reflejan únicamente el avance en las actividades a las que cada integrante o instancia se haya comprometido en su ruta de implementación del Programa Nacional. Asimismo, las Pizarras de Avance permiten ver el balance general de los esfuerzos que cada estrategia y línea de acción recibe en la generalidad del Programa Nacional, lo cual posibilita la reorientación de esfuerzos, ajustes al programa y la autorregulación de los integrantes para la atención integral del mismo. Incluso es posible establecer alguna clase de incentivo o</w:t>
      </w:r>
      <w:r w:rsidRPr="00BA784D">
        <w:rPr>
          <w:rFonts w:ascii="Times New Roman" w:eastAsia="Times New Roman" w:hAnsi="Times New Roman" w:cs="Times New Roman"/>
          <w:color w:val="C00000"/>
          <w:sz w:val="24"/>
          <w:szCs w:val="24"/>
        </w:rPr>
        <w:t xml:space="preserve"> </w:t>
      </w:r>
      <w:r w:rsidRPr="00BA784D">
        <w:rPr>
          <w:rFonts w:ascii="Times New Roman" w:eastAsia="Times New Roman" w:hAnsi="Times New Roman" w:cs="Times New Roman"/>
          <w:sz w:val="24"/>
          <w:szCs w:val="24"/>
        </w:rPr>
        <w:t xml:space="preserve">sistema de ponderadores </w:t>
      </w:r>
      <w:r w:rsidRPr="00BA784D">
        <w:rPr>
          <w:rFonts w:ascii="Times New Roman" w:eastAsia="Times New Roman" w:hAnsi="Times New Roman" w:cs="Times New Roman"/>
          <w:sz w:val="24"/>
          <w:szCs w:val="24"/>
        </w:rPr>
        <w:lastRenderedPageBreak/>
        <w:t>para compensar en los mecanismos de reporte a quienes adquieren mayores compromisos de implementación.</w:t>
      </w:r>
    </w:p>
    <w:p w14:paraId="1D0F17F2"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El mantenimiento de las Pizarras de Avance y su actualización es responsabilidad de la Secretaría Ejecutiva del SNT y ésta debe ser accesible a la sociedad en su conjunto para su consulta mediante el portal oficial del SNT y en la Plataforma Nacional. Como parte del ejercicio de rendición de cuentas del propio PROTAI, los informes que arrojen las Pizarras de Avance deben divulgarse periódicamente por medios alternativos.</w:t>
      </w:r>
    </w:p>
    <w:p w14:paraId="67166EB6"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En adición a las Pizarras de avance que darán cuenta de indicadores estadísticos y desempeño en términos cuantitativos, la Secretaría Ejecutiva del SNT referirá en sus informes de avances y seguimiento la recopilación y análisis de información cualitativa, a partir de la cual se obtendrán mejores prácticas, desafíos, entre otras consideraciones que complementen futuras acciones.</w:t>
      </w:r>
    </w:p>
    <w:p w14:paraId="62A2271D" w14:textId="1A297402"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Asimismo, se considera apropiado que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consideren el desarrollo de los programas institucionales en coordinación con las rutas de implementación del PROTAI que plantean de forma anual, de manera que sea posible en algún momento integrar un sistema de planeación y evaluación institucional nacional en materia de transparencia y acceso a la información pública.</w:t>
      </w:r>
    </w:p>
    <w:p w14:paraId="6CB1CFD2" w14:textId="77777777" w:rsidR="00E35B30" w:rsidRPr="00BA784D" w:rsidRDefault="0036612A">
      <w:pPr>
        <w:pStyle w:val="Ttulo3"/>
        <w:spacing w:before="200"/>
      </w:pPr>
      <w:bookmarkStart w:id="44" w:name="_Toc102051241"/>
      <w:r w:rsidRPr="00BA784D">
        <w:t>2. Seguimiento</w:t>
      </w:r>
      <w:bookmarkEnd w:id="44"/>
    </w:p>
    <w:p w14:paraId="7C7E8D38" w14:textId="12367FF0"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Para el seguimiento de las actividades, y con la finalidad de contar con información comparable entre tod</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la Secretaría Ejecutiva ha desarrollado diversos mecanismos y guías que le permiten recolectar y sistematizar de manera oportuna y veraz el avance semestral en el desarrollo de las actividades. Conforme al numeral Trigésimo Sexto de los Lineamientos de PROTAI se prevé la existencia de las Pizarras de Avance. </w:t>
      </w:r>
    </w:p>
    <w:p w14:paraId="1DFC86C5" w14:textId="4FD6E49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Esta herramienta tecnológica es, además de la herramienta de seguimiento, el instrumento para la rendición de cuentas y publicidad de información del avance del Programa. Se alimenta con la información provista por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 xml:space="preserve">s </w:t>
      </w:r>
      <w:r w:rsidR="00EC37B3" w:rsidRPr="00BA784D">
        <w:rPr>
          <w:rFonts w:ascii="Times New Roman" w:eastAsia="Times New Roman" w:hAnsi="Times New Roman" w:cs="Times New Roman"/>
          <w:sz w:val="24"/>
          <w:szCs w:val="24"/>
        </w:rPr>
        <w:t xml:space="preserve">instituciones </w:t>
      </w:r>
      <w:r w:rsidRPr="00BA784D">
        <w:rPr>
          <w:rFonts w:ascii="Times New Roman" w:eastAsia="Times New Roman" w:hAnsi="Times New Roman" w:cs="Times New Roman"/>
          <w:sz w:val="24"/>
          <w:szCs w:val="24"/>
        </w:rPr>
        <w:t xml:space="preserve">integrantes del SNT y sirve de evidencia de la realización de las líneas de acción establecidas en sus correspondientes rutas </w:t>
      </w:r>
      <w:r w:rsidRPr="00BA784D">
        <w:rPr>
          <w:rFonts w:ascii="Times New Roman" w:eastAsia="Times New Roman" w:hAnsi="Times New Roman" w:cs="Times New Roman"/>
          <w:sz w:val="24"/>
          <w:szCs w:val="24"/>
        </w:rPr>
        <w:lastRenderedPageBreak/>
        <w:t>de implementación. De esta manera, las Pizarras de Avance permiten visualizar el balance general de los esfuerzos en cada uno de los niveles del Programa, posibilitando, si fuera necesario, la reorientación de dichos esfuerzos, ajustes al Programa y la autorregulación de los Integrantes para la atención integral del mismo. Adicionalmente, la información reflejada servirá de insumo para la evaluación de los resultados del PROTAI.</w:t>
      </w:r>
    </w:p>
    <w:p w14:paraId="7BCAFCEB"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Asimismo, para direccionar y coordinar los esfuerzos de los implementadores, y de acuerdo con el numeral Trigésimo Octavo Bis de los Lineamientos, el PROTAI posee un Sistema de Monitoreo y Seguimiento (SM&amp;S) que consta de los siguientes elementos:</w:t>
      </w:r>
    </w:p>
    <w:p w14:paraId="3555BCE8" w14:textId="77777777" w:rsidR="00E35B30" w:rsidRPr="00BA784D" w:rsidRDefault="0036612A">
      <w:pPr>
        <w:spacing w:before="200" w:line="360" w:lineRule="auto"/>
        <w:ind w:left="357"/>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I. Mecanismo de Operación: </w:t>
      </w:r>
      <w:r w:rsidRPr="00BA784D">
        <w:rPr>
          <w:rFonts w:ascii="Times New Roman" w:eastAsia="Times New Roman" w:hAnsi="Times New Roman" w:cs="Times New Roman"/>
          <w:sz w:val="24"/>
          <w:szCs w:val="24"/>
        </w:rPr>
        <w:t>Integrado por matrices de información sobre las acciones de cada integrante, basadas en las Rutas de Implementación establecidas, reportes con los que se alimentan las Pizarras de Avance.</w:t>
      </w:r>
    </w:p>
    <w:p w14:paraId="353CDBBC" w14:textId="77777777" w:rsidR="00E35B30" w:rsidRPr="00BA784D" w:rsidRDefault="0036612A">
      <w:pPr>
        <w:spacing w:before="200" w:line="360" w:lineRule="auto"/>
        <w:ind w:left="357"/>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II. Mecanismo de Información Estadística:</w:t>
      </w:r>
      <w:r w:rsidRPr="00BA784D">
        <w:rPr>
          <w:rFonts w:ascii="Times New Roman" w:eastAsia="Times New Roman" w:hAnsi="Times New Roman" w:cs="Times New Roman"/>
          <w:sz w:val="24"/>
          <w:szCs w:val="24"/>
        </w:rPr>
        <w:t xml:space="preserve"> Integrado por diversos indicadores de resultados del PROTAI y los reportes integrados respecto al seguimiento.</w:t>
      </w:r>
    </w:p>
    <w:p w14:paraId="7AC691C3" w14:textId="77777777" w:rsidR="00E35B30" w:rsidRPr="00BA784D" w:rsidRDefault="0036612A">
      <w:pPr>
        <w:spacing w:before="200" w:line="360" w:lineRule="auto"/>
        <w:ind w:left="357"/>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III. Mecanismo de Seguimiento y Gobernanza: </w:t>
      </w:r>
      <w:r w:rsidRPr="00BA784D">
        <w:rPr>
          <w:rFonts w:ascii="Times New Roman" w:eastAsia="Times New Roman" w:hAnsi="Times New Roman" w:cs="Times New Roman"/>
          <w:sz w:val="24"/>
          <w:szCs w:val="24"/>
        </w:rPr>
        <w:t>Integrado por actores clave (Comisión de Indicadores, Evaluación e Investigación, Comité Técnico de Seguimiento y la Secretaría Ejecutiva) para el impulso de la deliberación de los avances del PROTAI, sus recomendaciones y compromisos.</w:t>
      </w:r>
    </w:p>
    <w:p w14:paraId="2ED2D735"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En este último es de destacar que para el adecuado acompañamiento del SM&amp;S, el PROTAI contempla la creación de un Comité Técnico de Seguimiento que incorpora la participación de la Coordinación de los Organismos Garantes de las Entidades Federativas, la Secretaría Ejecutiva del SNT, el Consejo Consultivo del INAI y tres expertos de la academia y/o sociedad civil como miembros honoríficos. Dicho Comité tiene la facultad de emitir recomendaciones, responder consultas, emitir orientación y coordinar actividades encaminadas a dotar de rigor técnico y fortalecer la implementación del Programa; y se reúne al menos dos veces al año para el desahogo de sus funciones.</w:t>
      </w:r>
    </w:p>
    <w:p w14:paraId="6996DF59"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Para poder contar con un seguimiento más completo, que incluya las acciones que son desarrolladas desde las instancias del SNT como avances en el marco de los Programas Nacionales, la Secretaría Ejecutiva del SNT en uso de sus atribuciones incluya al concentrado </w:t>
      </w:r>
      <w:r w:rsidRPr="00BA784D">
        <w:rPr>
          <w:rFonts w:ascii="Times New Roman" w:eastAsia="Times New Roman" w:hAnsi="Times New Roman" w:cs="Times New Roman"/>
          <w:sz w:val="24"/>
          <w:szCs w:val="24"/>
        </w:rPr>
        <w:lastRenderedPageBreak/>
        <w:t>de actividades institucionales, aquellas que fueron desarrolladas y/o impulsadas desde las instancias del SNT y de las cuáles tenga acceso a las evidencias de su desarrollo.</w:t>
      </w:r>
    </w:p>
    <w:p w14:paraId="5C034407"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El desarrollo de este proceso se realizaría tomando en cuenta las siguientes consideraciones: </w:t>
      </w:r>
    </w:p>
    <w:p w14:paraId="0455B390" w14:textId="77777777" w:rsidR="00E35B30" w:rsidRPr="00BA784D" w:rsidRDefault="0036612A">
      <w:pPr>
        <w:numPr>
          <w:ilvl w:val="0"/>
          <w:numId w:val="19"/>
        </w:num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Se agregarán al concentrado de actividades, exclusivamente aquellas sobre las cuáles cuente con evidencia del desarrollo de las mismas. </w:t>
      </w:r>
    </w:p>
    <w:p w14:paraId="66D647D1" w14:textId="77777777" w:rsidR="00E35B30" w:rsidRPr="00BA784D" w:rsidRDefault="0036612A">
      <w:pPr>
        <w:numPr>
          <w:ilvl w:val="0"/>
          <w:numId w:val="19"/>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Para efectos de la Ruta de Implementación, las actividades serán asociadas a todas las Líneas de Acción del Programa Nacional en las que causen impacto.</w:t>
      </w:r>
    </w:p>
    <w:p w14:paraId="458E1915" w14:textId="77777777" w:rsidR="00E35B30" w:rsidRPr="00BA784D" w:rsidRDefault="0036612A">
      <w:pPr>
        <w:numPr>
          <w:ilvl w:val="0"/>
          <w:numId w:val="19"/>
        </w:num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El seguimiento a estas actividades se hará del conocimiento del Consejo Nacional a través de los informes respecto a la implementación de los lineamientos de los Programas Nacionales.</w:t>
      </w:r>
    </w:p>
    <w:p w14:paraId="776513A4" w14:textId="77777777" w:rsidR="00E35B30" w:rsidRPr="00BA784D" w:rsidRDefault="0036612A">
      <w:pPr>
        <w:pBdr>
          <w:top w:val="nil"/>
          <w:left w:val="nil"/>
          <w:bottom w:val="nil"/>
          <w:right w:val="nil"/>
          <w:between w:val="nil"/>
        </w:pBdr>
        <w:spacing w:before="200" w:line="360" w:lineRule="auto"/>
        <w:jc w:val="both"/>
        <w:rPr>
          <w:rFonts w:ascii="Times New Roman" w:eastAsia="Times New Roman" w:hAnsi="Times New Roman" w:cs="Times New Roman"/>
          <w:color w:val="C00000"/>
          <w:sz w:val="24"/>
          <w:szCs w:val="24"/>
        </w:rPr>
      </w:pPr>
      <w:r w:rsidRPr="00BA784D">
        <w:rPr>
          <w:rFonts w:ascii="Times New Roman" w:eastAsia="Times New Roman" w:hAnsi="Times New Roman" w:cs="Times New Roman"/>
          <w:sz w:val="24"/>
          <w:szCs w:val="24"/>
        </w:rPr>
        <w:t>Si bien, existe asesoría técnica de la SESNT y sus áreas adscritas respecto a la implementación y seguimiento del PROTAI, es necesario el establecimiento de un ciclo de sesiones iniciales de capacitación con los enlaces correspondientes para que conozcan el programa a detalle, ejemplos de su puesta en marcha, experiencias y las herramientas necesarias para llevar a cabo la planeación, ajustes y seguimiento de la implementación en sus instituciones, estableciendo con ello un punto de partida. Para facilitar estos ejercicios a la luz de procesos de rotación de personal o designaciones, es conveniente que la SESNT establezca un repositorio de asesorías grabadas con el propósito de tener un espacio de consulta permanente al cual puedan acudir las personas involucradas en los Programas Nacionales. Este sitio debe contener material audiovisual que responda las preguntas más frecuentes y brinde casos prácticos que ayude a los enlaces en el llenado de sus formatos.</w:t>
      </w:r>
    </w:p>
    <w:p w14:paraId="14CFAA60" w14:textId="77777777" w:rsidR="00E35B30" w:rsidRPr="00BA784D" w:rsidRDefault="0036612A">
      <w:pPr>
        <w:pStyle w:val="Ttulo3"/>
        <w:spacing w:before="200"/>
      </w:pPr>
      <w:bookmarkStart w:id="45" w:name="_Toc102051242"/>
      <w:r w:rsidRPr="00BA784D">
        <w:t>3. Actualización y Evaluación</w:t>
      </w:r>
      <w:bookmarkEnd w:id="45"/>
    </w:p>
    <w:p w14:paraId="7DC7CFA8"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En su numeral Trigésimo Octavo Ter y Trigésimo Noveno, los Lineamientos del Programa establecen que este deberá actualizarse -en términos de la ejecución de la política pública- y evaluarse al término de cada ejercicio anual, por lo que, a partir del su primer ejercicio se podrán identificar un conjunto de acciones prioritarias a impulsar en los ciclos subsecuentes y en programas posteriores. </w:t>
      </w:r>
    </w:p>
    <w:p w14:paraId="7576555E"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Estas actualizaciones y evaluaciones dotan de flexibilidad al programa para incluir </w:t>
      </w:r>
      <w:r w:rsidRPr="00BA784D">
        <w:rPr>
          <w:rFonts w:ascii="Times New Roman" w:eastAsia="Times New Roman" w:hAnsi="Times New Roman" w:cs="Times New Roman"/>
          <w:sz w:val="24"/>
          <w:szCs w:val="24"/>
        </w:rPr>
        <w:lastRenderedPageBreak/>
        <w:t>conocimiento útil e información valiosa sobre las acciones emprendidas y de los resultados obtenidos, así como advertir oportunidades de mejora. Asimismo, con la finalidad de abonar una mayor imparcialidad y objetividad en las evaluaciones, se debe privilegiar que el desarrollo de estas se realice por parte de terceros, ya sean entidades gubernamentales específicas, organizaciones internacionales o de la sociedad en su conjunto o de particulares con amplia experiencia en el tema, pero sobre todo orientadas a identificar el impacto de las acciones realizadas y el cumplimiento de sus metas y objetivos. Es la Comisión de Indicadores, Evaluación e Investigación quien establece el calendario de evaluaciones a realizar en el marco del Programa Nacional y corresponde a la Secretaría Ejecutiva del SNT dar seguimiento a la evaluación en coordinación con dicha Comisión.</w:t>
      </w:r>
      <w:r w:rsidRPr="00BA784D">
        <w:br w:type="page"/>
      </w:r>
    </w:p>
    <w:p w14:paraId="57B5E25F" w14:textId="77777777" w:rsidR="00E35B30" w:rsidRPr="00BA784D" w:rsidRDefault="0036612A">
      <w:pPr>
        <w:pStyle w:val="Ttulo2"/>
        <w:spacing w:line="360" w:lineRule="auto"/>
        <w:ind w:left="0"/>
        <w:rPr>
          <w:sz w:val="24"/>
          <w:szCs w:val="24"/>
        </w:rPr>
      </w:pPr>
      <w:bookmarkStart w:id="46" w:name="_Toc102051243"/>
      <w:r w:rsidRPr="00BA784D">
        <w:rPr>
          <w:sz w:val="24"/>
          <w:szCs w:val="24"/>
        </w:rPr>
        <w:lastRenderedPageBreak/>
        <w:t>Perspectivas del PROTAI</w:t>
      </w:r>
      <w:bookmarkEnd w:id="46"/>
      <w:r w:rsidRPr="00BA784D">
        <w:rPr>
          <w:sz w:val="24"/>
          <w:szCs w:val="24"/>
        </w:rPr>
        <w:t xml:space="preserve"> </w:t>
      </w:r>
    </w:p>
    <w:p w14:paraId="77BA2DA6" w14:textId="77777777" w:rsidR="00E35B30" w:rsidRPr="00BA784D" w:rsidRDefault="00E35B30">
      <w:pPr>
        <w:spacing w:line="360" w:lineRule="auto"/>
        <w:rPr>
          <w:rFonts w:ascii="Times New Roman" w:eastAsia="Times New Roman" w:hAnsi="Times New Roman" w:cs="Times New Roman"/>
          <w:sz w:val="24"/>
          <w:szCs w:val="24"/>
        </w:rPr>
      </w:pPr>
    </w:p>
    <w:p w14:paraId="3C764306"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El PROTAI en su segunda edición ofrece nuevas perspectivas que incorporan el conocimiento y experiencia de los retos y hallazgos de los primeros años de implementación de la política pública. En la perspectiva global, el PROTAI aspira a convertirse en un instrumento útil para la coordinación interinstitucional, la garantía progresiva del derecho, la cultura burocrática de la transparencia y el máximo uso del derecho en beneficio de la vida de las personas. </w:t>
      </w:r>
    </w:p>
    <w:p w14:paraId="1FF611A0" w14:textId="77777777" w:rsidR="00E35B30" w:rsidRPr="00BA784D" w:rsidRDefault="00E35B30">
      <w:pPr>
        <w:spacing w:line="360" w:lineRule="auto"/>
        <w:rPr>
          <w:rFonts w:ascii="Times New Roman" w:eastAsia="Times New Roman" w:hAnsi="Times New Roman" w:cs="Times New Roman"/>
          <w:sz w:val="24"/>
          <w:szCs w:val="24"/>
        </w:rPr>
      </w:pPr>
    </w:p>
    <w:tbl>
      <w:tblPr>
        <w:tblStyle w:val="13"/>
        <w:tblW w:w="883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9"/>
        <w:gridCol w:w="2209"/>
        <w:gridCol w:w="2209"/>
        <w:gridCol w:w="2209"/>
      </w:tblGrid>
      <w:tr w:rsidR="00E35B30" w:rsidRPr="00BA784D" w14:paraId="0B98633F" w14:textId="77777777">
        <w:tc>
          <w:tcPr>
            <w:tcW w:w="2209" w:type="dxa"/>
            <w:shd w:val="clear" w:color="auto" w:fill="000000"/>
            <w:tcMar>
              <w:top w:w="100" w:type="dxa"/>
              <w:left w:w="100" w:type="dxa"/>
              <w:bottom w:w="100" w:type="dxa"/>
              <w:right w:w="100" w:type="dxa"/>
            </w:tcMar>
          </w:tcPr>
          <w:p w14:paraId="3E0EF5CD" w14:textId="164BD36E" w:rsidR="00E35B30" w:rsidRPr="00BA784D" w:rsidRDefault="00943C1E">
            <w:pPr>
              <w:pBdr>
                <w:top w:val="nil"/>
                <w:left w:val="nil"/>
                <w:bottom w:val="nil"/>
                <w:right w:val="nil"/>
                <w:between w:val="nil"/>
              </w:pBdr>
              <w:spacing w:line="360" w:lineRule="auto"/>
              <w:rPr>
                <w:rFonts w:ascii="Times New Roman" w:eastAsia="Times New Roman" w:hAnsi="Times New Roman" w:cs="Times New Roman"/>
                <w:color w:val="FFFFFF"/>
                <w:sz w:val="24"/>
                <w:szCs w:val="24"/>
              </w:rPr>
            </w:pPr>
            <w:r w:rsidRPr="00BA784D">
              <w:rPr>
                <w:rFonts w:ascii="Times New Roman" w:eastAsia="Times New Roman" w:hAnsi="Times New Roman" w:cs="Times New Roman"/>
                <w:color w:val="FFFFFF"/>
                <w:sz w:val="24"/>
                <w:szCs w:val="24"/>
              </w:rPr>
              <w:t>¿</w:t>
            </w:r>
            <w:r w:rsidR="0036612A" w:rsidRPr="00BA784D">
              <w:rPr>
                <w:rFonts w:ascii="Times New Roman" w:eastAsia="Times New Roman" w:hAnsi="Times New Roman" w:cs="Times New Roman"/>
                <w:color w:val="FFFFFF"/>
                <w:sz w:val="24"/>
                <w:szCs w:val="24"/>
              </w:rPr>
              <w:t>Dónde estamos</w:t>
            </w:r>
            <w:r w:rsidRPr="00BA784D">
              <w:rPr>
                <w:rFonts w:ascii="Times New Roman" w:eastAsia="Times New Roman" w:hAnsi="Times New Roman" w:cs="Times New Roman"/>
                <w:color w:val="FFFFFF"/>
                <w:sz w:val="24"/>
                <w:szCs w:val="24"/>
              </w:rPr>
              <w:t>?</w:t>
            </w:r>
          </w:p>
          <w:p w14:paraId="5EF888AC" w14:textId="77777777"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color w:val="FFFFFF"/>
                <w:sz w:val="24"/>
                <w:szCs w:val="24"/>
              </w:rPr>
            </w:pPr>
            <w:r w:rsidRPr="00BA784D">
              <w:rPr>
                <w:rFonts w:ascii="Times New Roman" w:eastAsia="Times New Roman" w:hAnsi="Times New Roman" w:cs="Times New Roman"/>
                <w:color w:val="FFFFFF"/>
                <w:sz w:val="24"/>
                <w:szCs w:val="24"/>
              </w:rPr>
              <w:t>2021-2022</w:t>
            </w:r>
          </w:p>
        </w:tc>
        <w:tc>
          <w:tcPr>
            <w:tcW w:w="2209" w:type="dxa"/>
            <w:shd w:val="clear" w:color="auto" w:fill="000000"/>
            <w:tcMar>
              <w:top w:w="100" w:type="dxa"/>
              <w:left w:w="100" w:type="dxa"/>
              <w:bottom w:w="100" w:type="dxa"/>
              <w:right w:w="100" w:type="dxa"/>
            </w:tcMar>
          </w:tcPr>
          <w:p w14:paraId="7FA00818" w14:textId="6CA8F544" w:rsidR="00E35B30" w:rsidRPr="00BA784D" w:rsidRDefault="00943C1E">
            <w:pPr>
              <w:pBdr>
                <w:top w:val="nil"/>
                <w:left w:val="nil"/>
                <w:bottom w:val="nil"/>
                <w:right w:val="nil"/>
                <w:between w:val="nil"/>
              </w:pBdr>
              <w:spacing w:line="360" w:lineRule="auto"/>
              <w:rPr>
                <w:rFonts w:ascii="Times New Roman" w:eastAsia="Times New Roman" w:hAnsi="Times New Roman" w:cs="Times New Roman"/>
                <w:color w:val="FFFFFF"/>
                <w:sz w:val="24"/>
                <w:szCs w:val="24"/>
              </w:rPr>
            </w:pPr>
            <w:r w:rsidRPr="00BA784D">
              <w:rPr>
                <w:rFonts w:ascii="Times New Roman" w:eastAsia="Times New Roman" w:hAnsi="Times New Roman" w:cs="Times New Roman"/>
                <w:color w:val="FFFFFF"/>
                <w:sz w:val="24"/>
                <w:szCs w:val="24"/>
              </w:rPr>
              <w:t>¿</w:t>
            </w:r>
            <w:r w:rsidR="0036612A" w:rsidRPr="00BA784D">
              <w:rPr>
                <w:rFonts w:ascii="Times New Roman" w:eastAsia="Times New Roman" w:hAnsi="Times New Roman" w:cs="Times New Roman"/>
                <w:color w:val="FFFFFF"/>
                <w:sz w:val="24"/>
                <w:szCs w:val="24"/>
              </w:rPr>
              <w:t>Dónde estaremos</w:t>
            </w:r>
            <w:r w:rsidRPr="00BA784D">
              <w:rPr>
                <w:rFonts w:ascii="Times New Roman" w:eastAsia="Times New Roman" w:hAnsi="Times New Roman" w:cs="Times New Roman"/>
                <w:color w:val="FFFFFF"/>
                <w:sz w:val="24"/>
                <w:szCs w:val="24"/>
              </w:rPr>
              <w:t>?</w:t>
            </w:r>
          </w:p>
          <w:p w14:paraId="39638A37" w14:textId="7977757D"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color w:val="FFFFFF"/>
                <w:sz w:val="24"/>
                <w:szCs w:val="24"/>
              </w:rPr>
            </w:pPr>
            <w:r w:rsidRPr="00BA784D">
              <w:rPr>
                <w:rFonts w:ascii="Times New Roman" w:eastAsia="Times New Roman" w:hAnsi="Times New Roman" w:cs="Times New Roman"/>
                <w:color w:val="FFFFFF"/>
                <w:sz w:val="24"/>
                <w:szCs w:val="24"/>
              </w:rPr>
              <w:t>2022-</w:t>
            </w:r>
            <w:r w:rsidR="00415C91" w:rsidRPr="00BA784D">
              <w:rPr>
                <w:rFonts w:ascii="Times New Roman" w:eastAsia="Times New Roman" w:hAnsi="Times New Roman" w:cs="Times New Roman"/>
                <w:color w:val="FFFFFF"/>
                <w:sz w:val="24"/>
                <w:szCs w:val="24"/>
              </w:rPr>
              <w:t>2026</w:t>
            </w:r>
          </w:p>
        </w:tc>
        <w:tc>
          <w:tcPr>
            <w:tcW w:w="2209" w:type="dxa"/>
            <w:shd w:val="clear" w:color="auto" w:fill="000000"/>
            <w:tcMar>
              <w:top w:w="100" w:type="dxa"/>
              <w:left w:w="100" w:type="dxa"/>
              <w:bottom w:w="100" w:type="dxa"/>
              <w:right w:w="100" w:type="dxa"/>
            </w:tcMar>
          </w:tcPr>
          <w:p w14:paraId="3ABA1F72" w14:textId="77777777"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color w:val="FFFFFF"/>
                <w:sz w:val="24"/>
                <w:szCs w:val="24"/>
              </w:rPr>
            </w:pPr>
            <w:r w:rsidRPr="00BA784D">
              <w:rPr>
                <w:rFonts w:ascii="Times New Roman" w:eastAsia="Times New Roman" w:hAnsi="Times New Roman" w:cs="Times New Roman"/>
                <w:color w:val="FFFFFF"/>
                <w:sz w:val="24"/>
                <w:szCs w:val="24"/>
              </w:rPr>
              <w:t>Hacia el Tercer PROTAI</w:t>
            </w:r>
          </w:p>
        </w:tc>
        <w:tc>
          <w:tcPr>
            <w:tcW w:w="2209" w:type="dxa"/>
            <w:shd w:val="clear" w:color="auto" w:fill="000000"/>
            <w:tcMar>
              <w:top w:w="100" w:type="dxa"/>
              <w:left w:w="100" w:type="dxa"/>
              <w:bottom w:w="100" w:type="dxa"/>
              <w:right w:w="100" w:type="dxa"/>
            </w:tcMar>
          </w:tcPr>
          <w:p w14:paraId="11552C7D" w14:textId="3AE0F311" w:rsidR="00E35B30" w:rsidRPr="00BA784D" w:rsidRDefault="00943C1E">
            <w:pPr>
              <w:pBdr>
                <w:top w:val="nil"/>
                <w:left w:val="nil"/>
                <w:bottom w:val="nil"/>
                <w:right w:val="nil"/>
                <w:between w:val="nil"/>
              </w:pBdr>
              <w:spacing w:line="360" w:lineRule="auto"/>
              <w:rPr>
                <w:rFonts w:ascii="Times New Roman" w:eastAsia="Times New Roman" w:hAnsi="Times New Roman" w:cs="Times New Roman"/>
                <w:color w:val="FFFFFF"/>
                <w:sz w:val="24"/>
                <w:szCs w:val="24"/>
              </w:rPr>
            </w:pPr>
            <w:r w:rsidRPr="00BA784D">
              <w:rPr>
                <w:rFonts w:ascii="Times New Roman" w:eastAsia="Times New Roman" w:hAnsi="Times New Roman" w:cs="Times New Roman"/>
                <w:color w:val="FFFFFF"/>
                <w:sz w:val="24"/>
                <w:szCs w:val="24"/>
              </w:rPr>
              <w:t>¿</w:t>
            </w:r>
            <w:r w:rsidR="0036612A" w:rsidRPr="00BA784D">
              <w:rPr>
                <w:rFonts w:ascii="Times New Roman" w:eastAsia="Times New Roman" w:hAnsi="Times New Roman" w:cs="Times New Roman"/>
                <w:color w:val="FFFFFF"/>
                <w:sz w:val="24"/>
                <w:szCs w:val="24"/>
              </w:rPr>
              <w:t>Qué aspiramos</w:t>
            </w:r>
            <w:r w:rsidRPr="00BA784D">
              <w:rPr>
                <w:rFonts w:ascii="Times New Roman" w:eastAsia="Times New Roman" w:hAnsi="Times New Roman" w:cs="Times New Roman"/>
                <w:color w:val="FFFFFF"/>
                <w:sz w:val="24"/>
                <w:szCs w:val="24"/>
              </w:rPr>
              <w:t>?</w:t>
            </w:r>
          </w:p>
        </w:tc>
      </w:tr>
      <w:tr w:rsidR="00E35B30" w:rsidRPr="00BA784D" w14:paraId="0C6338B8" w14:textId="77777777">
        <w:tc>
          <w:tcPr>
            <w:tcW w:w="2209" w:type="dxa"/>
            <w:shd w:val="clear" w:color="auto" w:fill="auto"/>
            <w:tcMar>
              <w:top w:w="100" w:type="dxa"/>
              <w:left w:w="100" w:type="dxa"/>
              <w:bottom w:w="100" w:type="dxa"/>
              <w:right w:w="100" w:type="dxa"/>
            </w:tcMar>
          </w:tcPr>
          <w:p w14:paraId="70242553" w14:textId="77777777"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1. El SNT cuenta con la visión y enfoque estratégico para evaluar la eficacia normativa y de políticas públicas, así como el cumplimiento de los mandatos de las leyes y normatividad en la materia.</w:t>
            </w:r>
          </w:p>
          <w:p w14:paraId="35B8DF42"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p>
        </w:tc>
        <w:tc>
          <w:tcPr>
            <w:tcW w:w="2209" w:type="dxa"/>
            <w:shd w:val="clear" w:color="auto" w:fill="auto"/>
            <w:tcMar>
              <w:top w:w="100" w:type="dxa"/>
              <w:left w:w="100" w:type="dxa"/>
              <w:bottom w:w="100" w:type="dxa"/>
              <w:right w:w="100" w:type="dxa"/>
            </w:tcMar>
          </w:tcPr>
          <w:p w14:paraId="66C75E97" w14:textId="020C5CDC" w:rsidR="00E35B30" w:rsidRPr="00BA784D" w:rsidRDefault="0036612A">
            <w:pPr>
              <w:spacing w:before="240" w:after="240"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1.Se han mejorado las normas jurídicas y fortalecido las capacidades institucionales de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para garantizar progresivamente el derecho de acceso a la información, la transparencia y la rendición de cuentas en México. </w:t>
            </w:r>
          </w:p>
        </w:tc>
        <w:tc>
          <w:tcPr>
            <w:tcW w:w="2209" w:type="dxa"/>
            <w:shd w:val="clear" w:color="auto" w:fill="auto"/>
            <w:tcMar>
              <w:top w:w="100" w:type="dxa"/>
              <w:left w:w="100" w:type="dxa"/>
              <w:bottom w:w="100" w:type="dxa"/>
              <w:right w:w="100" w:type="dxa"/>
            </w:tcMar>
          </w:tcPr>
          <w:p w14:paraId="0984A8DE" w14:textId="2F531BE5"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 Concentrar y maximizar los esfuerzos de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EC37B3"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 hacia la ejecución de acciones del PROTAI con impacto en los objetivos centrales. </w:t>
            </w:r>
          </w:p>
        </w:tc>
        <w:tc>
          <w:tcPr>
            <w:tcW w:w="2209" w:type="dxa"/>
            <w:shd w:val="clear" w:color="auto" w:fill="auto"/>
            <w:tcMar>
              <w:top w:w="100" w:type="dxa"/>
              <w:left w:w="100" w:type="dxa"/>
              <w:bottom w:w="100" w:type="dxa"/>
              <w:right w:w="100" w:type="dxa"/>
            </w:tcMar>
          </w:tcPr>
          <w:p w14:paraId="414EF03D" w14:textId="77777777" w:rsidR="00E35B30" w:rsidRPr="00BA784D" w:rsidRDefault="0036612A">
            <w:pPr>
              <w:spacing w:before="240" w:after="240"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 Las instituciones del SNT se coordinan efectivamente para desarrollar en los sujetos obligados políticas públicas eficientes en la atención necesidades informativas de la población.</w:t>
            </w:r>
          </w:p>
        </w:tc>
      </w:tr>
      <w:tr w:rsidR="00E35B30" w:rsidRPr="00BA784D" w14:paraId="1D79DC56" w14:textId="77777777">
        <w:tc>
          <w:tcPr>
            <w:tcW w:w="2209" w:type="dxa"/>
            <w:shd w:val="clear" w:color="auto" w:fill="auto"/>
            <w:tcMar>
              <w:top w:w="100" w:type="dxa"/>
              <w:left w:w="100" w:type="dxa"/>
              <w:bottom w:w="100" w:type="dxa"/>
              <w:right w:w="100" w:type="dxa"/>
            </w:tcMar>
          </w:tcPr>
          <w:p w14:paraId="5583952D" w14:textId="77777777"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2. Gracias a la documentación y seguimiento del </w:t>
            </w:r>
            <w:r w:rsidRPr="00BA784D">
              <w:rPr>
                <w:rFonts w:ascii="Times New Roman" w:eastAsia="Times New Roman" w:hAnsi="Times New Roman" w:cs="Times New Roman"/>
                <w:sz w:val="24"/>
                <w:szCs w:val="24"/>
              </w:rPr>
              <w:lastRenderedPageBreak/>
              <w:t xml:space="preserve">programa en su primera edición ha sido posible evaluar los avances en los procedimientos de gestión institucionales necesarios para cumplir con los objetivos específicos del PROTAI. </w:t>
            </w:r>
          </w:p>
        </w:tc>
        <w:tc>
          <w:tcPr>
            <w:tcW w:w="2209" w:type="dxa"/>
            <w:shd w:val="clear" w:color="auto" w:fill="auto"/>
            <w:tcMar>
              <w:top w:w="100" w:type="dxa"/>
              <w:left w:w="100" w:type="dxa"/>
              <w:bottom w:w="100" w:type="dxa"/>
              <w:right w:w="100" w:type="dxa"/>
            </w:tcMar>
          </w:tcPr>
          <w:p w14:paraId="33FED13D" w14:textId="77777777"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 xml:space="preserve">2. Existen mecanismos de planeación, </w:t>
            </w:r>
            <w:r w:rsidRPr="00BA784D">
              <w:rPr>
                <w:rFonts w:ascii="Times New Roman" w:eastAsia="Times New Roman" w:hAnsi="Times New Roman" w:cs="Times New Roman"/>
                <w:sz w:val="24"/>
                <w:szCs w:val="24"/>
              </w:rPr>
              <w:lastRenderedPageBreak/>
              <w:t>evaluación y corrección de normas y políticas públicas al alcance de los sujetos obligados acordes a la garantía progresiva del derecho de acceso a la información, la transparencia y la rendición de cuentas en México.</w:t>
            </w:r>
            <w:r w:rsidRPr="00BA784D">
              <w:rPr>
                <w:rFonts w:ascii="Times New Roman" w:eastAsia="Times New Roman" w:hAnsi="Times New Roman" w:cs="Times New Roman"/>
                <w:sz w:val="24"/>
                <w:szCs w:val="24"/>
              </w:rPr>
              <w:tab/>
            </w:r>
          </w:p>
        </w:tc>
        <w:tc>
          <w:tcPr>
            <w:tcW w:w="2209" w:type="dxa"/>
            <w:shd w:val="clear" w:color="auto" w:fill="auto"/>
            <w:tcMar>
              <w:top w:w="100" w:type="dxa"/>
              <w:left w:w="100" w:type="dxa"/>
              <w:bottom w:w="100" w:type="dxa"/>
              <w:right w:w="100" w:type="dxa"/>
            </w:tcMar>
          </w:tcPr>
          <w:p w14:paraId="51ADEE98" w14:textId="77777777"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 xml:space="preserve">2. Mayor promoción de acciones enfocadas en el eje </w:t>
            </w:r>
            <w:r w:rsidRPr="00BA784D">
              <w:rPr>
                <w:rFonts w:ascii="Times New Roman" w:eastAsia="Times New Roman" w:hAnsi="Times New Roman" w:cs="Times New Roman"/>
                <w:sz w:val="24"/>
                <w:szCs w:val="24"/>
              </w:rPr>
              <w:lastRenderedPageBreak/>
              <w:t xml:space="preserve">temático de Derechos Humanos, Perspectiva de Género e Inclusión Social que hacen posible la garantía del derecho en la diversidad social. </w:t>
            </w:r>
          </w:p>
        </w:tc>
        <w:tc>
          <w:tcPr>
            <w:tcW w:w="2209" w:type="dxa"/>
            <w:shd w:val="clear" w:color="auto" w:fill="auto"/>
            <w:tcMar>
              <w:top w:w="100" w:type="dxa"/>
              <w:left w:w="100" w:type="dxa"/>
              <w:bottom w:w="100" w:type="dxa"/>
              <w:right w:w="100" w:type="dxa"/>
            </w:tcMar>
          </w:tcPr>
          <w:p w14:paraId="18A72A78" w14:textId="77777777"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 xml:space="preserve">2. Los sujetos obligados y las personas del </w:t>
            </w:r>
            <w:r w:rsidRPr="00BA784D">
              <w:rPr>
                <w:rFonts w:ascii="Times New Roman" w:eastAsia="Times New Roman" w:hAnsi="Times New Roman" w:cs="Times New Roman"/>
                <w:sz w:val="24"/>
                <w:szCs w:val="24"/>
              </w:rPr>
              <w:lastRenderedPageBreak/>
              <w:t>servicio público tienen una sólida cultura de la transparencia y rendición de cuentas que involucra a la ciudadanía en la toma de decisiones con modelos de apertura.</w:t>
            </w:r>
          </w:p>
          <w:p w14:paraId="6014EAA0" w14:textId="77777777" w:rsidR="00E35B30" w:rsidRPr="00BA784D" w:rsidRDefault="00E35B30">
            <w:pPr>
              <w:spacing w:before="240" w:after="240" w:line="360" w:lineRule="auto"/>
              <w:rPr>
                <w:rFonts w:ascii="Times New Roman" w:eastAsia="Times New Roman" w:hAnsi="Times New Roman" w:cs="Times New Roman"/>
                <w:sz w:val="24"/>
                <w:szCs w:val="24"/>
              </w:rPr>
            </w:pPr>
          </w:p>
        </w:tc>
      </w:tr>
      <w:tr w:rsidR="00E35B30" w:rsidRPr="00BA784D" w14:paraId="4F1EB139" w14:textId="77777777">
        <w:tc>
          <w:tcPr>
            <w:tcW w:w="2209" w:type="dxa"/>
            <w:shd w:val="clear" w:color="auto" w:fill="auto"/>
            <w:tcMar>
              <w:top w:w="100" w:type="dxa"/>
              <w:left w:w="100" w:type="dxa"/>
              <w:bottom w:w="100" w:type="dxa"/>
              <w:right w:w="100" w:type="dxa"/>
            </w:tcMar>
          </w:tcPr>
          <w:p w14:paraId="67068B68" w14:textId="77777777" w:rsidR="00E35B30" w:rsidRPr="00BA784D" w:rsidRDefault="0036612A">
            <w:pPr>
              <w:spacing w:before="240" w:after="240"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 xml:space="preserve">3. Evaluar las estrategias de difusión, acceso a la información y transparencia con miras a alcanzar la trascendencia del PROTAI. </w:t>
            </w:r>
          </w:p>
        </w:tc>
        <w:tc>
          <w:tcPr>
            <w:tcW w:w="2209" w:type="dxa"/>
            <w:shd w:val="clear" w:color="auto" w:fill="auto"/>
            <w:tcMar>
              <w:top w:w="100" w:type="dxa"/>
              <w:left w:w="100" w:type="dxa"/>
              <w:bottom w:w="100" w:type="dxa"/>
              <w:right w:w="100" w:type="dxa"/>
            </w:tcMar>
          </w:tcPr>
          <w:p w14:paraId="011F0F85" w14:textId="77777777"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3. La información pública es aprovechada por la población y tiene trascendencia en la vida nacional. </w:t>
            </w:r>
          </w:p>
        </w:tc>
        <w:tc>
          <w:tcPr>
            <w:tcW w:w="2209" w:type="dxa"/>
            <w:shd w:val="clear" w:color="auto" w:fill="auto"/>
            <w:tcMar>
              <w:top w:w="100" w:type="dxa"/>
              <w:left w:w="100" w:type="dxa"/>
              <w:bottom w:w="100" w:type="dxa"/>
              <w:right w:w="100" w:type="dxa"/>
            </w:tcMar>
          </w:tcPr>
          <w:p w14:paraId="1FA302A9" w14:textId="2261EDF9"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 Mayor coordinación de acciones con los sistemas de anticorrupción y la ampliación de la agenda de rendición de cuentas vinculada a la función de transparencia de l</w:t>
            </w:r>
            <w:r w:rsidR="00EC37B3"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 xml:space="preserve">s </w:t>
            </w:r>
            <w:r w:rsidR="00EC37B3" w:rsidRPr="00BA784D">
              <w:rPr>
                <w:rFonts w:ascii="Times New Roman" w:eastAsia="Times New Roman" w:hAnsi="Times New Roman" w:cs="Times New Roman"/>
                <w:sz w:val="24"/>
                <w:szCs w:val="24"/>
              </w:rPr>
              <w:t xml:space="preserve">instituciones </w:t>
            </w:r>
            <w:r w:rsidRPr="00BA784D">
              <w:rPr>
                <w:rFonts w:ascii="Times New Roman" w:eastAsia="Times New Roman" w:hAnsi="Times New Roman" w:cs="Times New Roman"/>
                <w:sz w:val="24"/>
                <w:szCs w:val="24"/>
              </w:rPr>
              <w:t xml:space="preserve">integrantes del SNT. </w:t>
            </w:r>
          </w:p>
        </w:tc>
        <w:tc>
          <w:tcPr>
            <w:tcW w:w="2209" w:type="dxa"/>
            <w:shd w:val="clear" w:color="auto" w:fill="auto"/>
            <w:tcMar>
              <w:top w:w="100" w:type="dxa"/>
              <w:left w:w="100" w:type="dxa"/>
              <w:bottom w:w="100" w:type="dxa"/>
              <w:right w:w="100" w:type="dxa"/>
            </w:tcMar>
          </w:tcPr>
          <w:p w14:paraId="4BA9E0B7" w14:textId="77777777" w:rsidR="00E35B30" w:rsidRPr="00BA784D" w:rsidRDefault="0036612A">
            <w:pPr>
              <w:spacing w:before="240" w:after="240"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3. La población confía y usa la información pública activamente, además de conocer sus derechos relacionados y las instituciones que los protegen. </w:t>
            </w:r>
          </w:p>
        </w:tc>
      </w:tr>
      <w:tr w:rsidR="00E35B30" w:rsidRPr="00BA784D" w14:paraId="260B997E" w14:textId="77777777">
        <w:tc>
          <w:tcPr>
            <w:tcW w:w="2209" w:type="dxa"/>
            <w:shd w:val="clear" w:color="auto" w:fill="auto"/>
            <w:tcMar>
              <w:top w:w="100" w:type="dxa"/>
              <w:left w:w="100" w:type="dxa"/>
              <w:bottom w:w="100" w:type="dxa"/>
              <w:right w:w="100" w:type="dxa"/>
            </w:tcMar>
          </w:tcPr>
          <w:p w14:paraId="6781A6AE" w14:textId="77777777" w:rsidR="00E35B30" w:rsidRPr="00BA784D" w:rsidRDefault="0036612A">
            <w:pPr>
              <w:spacing w:before="240" w:after="240"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4. Fue desarrollado y mejorado el Sistema de Monitoreo y </w:t>
            </w:r>
            <w:r w:rsidRPr="00BA784D">
              <w:rPr>
                <w:rFonts w:ascii="Times New Roman" w:eastAsia="Times New Roman" w:hAnsi="Times New Roman" w:cs="Times New Roman"/>
                <w:sz w:val="24"/>
                <w:szCs w:val="24"/>
              </w:rPr>
              <w:lastRenderedPageBreak/>
              <w:t xml:space="preserve">Seguimiento para hacer los ajustes necesarios en la </w:t>
            </w:r>
            <w:proofErr w:type="spellStart"/>
            <w:r w:rsidRPr="00BA784D">
              <w:rPr>
                <w:rFonts w:ascii="Times New Roman" w:eastAsia="Times New Roman" w:hAnsi="Times New Roman" w:cs="Times New Roman"/>
                <w:sz w:val="24"/>
                <w:szCs w:val="24"/>
              </w:rPr>
              <w:t>operación</w:t>
            </w:r>
            <w:proofErr w:type="spellEnd"/>
            <w:r w:rsidRPr="00BA784D">
              <w:rPr>
                <w:rFonts w:ascii="Times New Roman" w:eastAsia="Times New Roman" w:hAnsi="Times New Roman" w:cs="Times New Roman"/>
                <w:sz w:val="24"/>
                <w:szCs w:val="24"/>
              </w:rPr>
              <w:t xml:space="preserve"> del primer PROTAI y la planeación basada en datos del segundo PROTAI. </w:t>
            </w:r>
          </w:p>
        </w:tc>
        <w:tc>
          <w:tcPr>
            <w:tcW w:w="2209" w:type="dxa"/>
            <w:shd w:val="clear" w:color="auto" w:fill="auto"/>
            <w:tcMar>
              <w:top w:w="100" w:type="dxa"/>
              <w:left w:w="100" w:type="dxa"/>
              <w:bottom w:w="100" w:type="dxa"/>
              <w:right w:w="100" w:type="dxa"/>
            </w:tcMar>
          </w:tcPr>
          <w:p w14:paraId="73E44C48" w14:textId="77777777" w:rsidR="00E35B30" w:rsidRPr="00BA784D" w:rsidRDefault="00E35B30">
            <w:pPr>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209" w:type="dxa"/>
            <w:shd w:val="clear" w:color="auto" w:fill="auto"/>
            <w:tcMar>
              <w:top w:w="100" w:type="dxa"/>
              <w:left w:w="100" w:type="dxa"/>
              <w:bottom w:w="100" w:type="dxa"/>
              <w:right w:w="100" w:type="dxa"/>
            </w:tcMar>
          </w:tcPr>
          <w:p w14:paraId="184F55A7" w14:textId="77777777"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4. Mayor conocimiento entre la población sobre el ejercicio del derecho </w:t>
            </w:r>
            <w:r w:rsidRPr="00BA784D">
              <w:rPr>
                <w:rFonts w:ascii="Times New Roman" w:eastAsia="Times New Roman" w:hAnsi="Times New Roman" w:cs="Times New Roman"/>
                <w:sz w:val="24"/>
                <w:szCs w:val="24"/>
              </w:rPr>
              <w:lastRenderedPageBreak/>
              <w:t>de acceso a la información y los Organismos Garantes.</w:t>
            </w:r>
          </w:p>
        </w:tc>
        <w:tc>
          <w:tcPr>
            <w:tcW w:w="2209" w:type="dxa"/>
            <w:shd w:val="clear" w:color="auto" w:fill="auto"/>
            <w:tcMar>
              <w:top w:w="100" w:type="dxa"/>
              <w:left w:w="100" w:type="dxa"/>
              <w:bottom w:w="100" w:type="dxa"/>
              <w:right w:w="100" w:type="dxa"/>
            </w:tcMar>
          </w:tcPr>
          <w:p w14:paraId="3695A5EF" w14:textId="77777777" w:rsidR="00E35B30" w:rsidRPr="00BA784D" w:rsidRDefault="00E35B30">
            <w:pPr>
              <w:pBdr>
                <w:top w:val="nil"/>
                <w:left w:val="nil"/>
                <w:bottom w:val="nil"/>
                <w:right w:val="nil"/>
                <w:between w:val="nil"/>
              </w:pBdr>
              <w:spacing w:line="360" w:lineRule="auto"/>
              <w:rPr>
                <w:rFonts w:ascii="Times New Roman" w:eastAsia="Times New Roman" w:hAnsi="Times New Roman" w:cs="Times New Roman"/>
                <w:sz w:val="24"/>
                <w:szCs w:val="24"/>
              </w:rPr>
            </w:pPr>
          </w:p>
        </w:tc>
      </w:tr>
    </w:tbl>
    <w:p w14:paraId="260C3E2F"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3EBA4886" w14:textId="77777777" w:rsidR="00E35B30" w:rsidRPr="00BA784D" w:rsidRDefault="0036612A">
      <w:pPr>
        <w:pStyle w:val="Ttulo2"/>
        <w:spacing w:line="360" w:lineRule="auto"/>
        <w:ind w:left="0"/>
        <w:rPr>
          <w:sz w:val="24"/>
          <w:szCs w:val="24"/>
        </w:rPr>
      </w:pPr>
      <w:bookmarkStart w:id="47" w:name="_heading=h.49x2ik5" w:colFirst="0" w:colLast="0"/>
      <w:bookmarkEnd w:id="47"/>
      <w:r w:rsidRPr="00BA784D">
        <w:br w:type="page"/>
      </w:r>
    </w:p>
    <w:p w14:paraId="0B7D000B" w14:textId="77777777" w:rsidR="00E35B30" w:rsidRPr="00BA784D" w:rsidRDefault="0036612A">
      <w:pPr>
        <w:pStyle w:val="Ttulo2"/>
        <w:spacing w:line="360" w:lineRule="auto"/>
        <w:ind w:left="0"/>
        <w:rPr>
          <w:sz w:val="24"/>
          <w:szCs w:val="24"/>
        </w:rPr>
      </w:pPr>
      <w:bookmarkStart w:id="48" w:name="_Toc102051244"/>
      <w:r w:rsidRPr="00BA784D">
        <w:rPr>
          <w:sz w:val="24"/>
          <w:szCs w:val="24"/>
        </w:rPr>
        <w:lastRenderedPageBreak/>
        <w:t>GLOSARIO</w:t>
      </w:r>
      <w:bookmarkEnd w:id="48"/>
    </w:p>
    <w:p w14:paraId="557764C9" w14:textId="77777777" w:rsidR="00E35B30" w:rsidRPr="00BA784D" w:rsidRDefault="0036612A">
      <w:pPr>
        <w:spacing w:before="240" w:after="24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Accesibilidad</w:t>
      </w:r>
      <w:r w:rsidRPr="00BA784D">
        <w:rPr>
          <w:rFonts w:ascii="Times New Roman" w:eastAsia="Times New Roman" w:hAnsi="Times New Roman" w:cs="Times New Roman"/>
          <w:sz w:val="24"/>
          <w:szCs w:val="24"/>
        </w:rPr>
        <w:t xml:space="preserve">: El conjunto de medidas pertinentes para asegurar el derecho de acceso a la información a todas las personas en igualdad de condiciones e independientemente de sus capacidades </w:t>
      </w:r>
      <w:proofErr w:type="spellStart"/>
      <w:r w:rsidRPr="00BA784D">
        <w:rPr>
          <w:rFonts w:ascii="Times New Roman" w:eastAsia="Times New Roman" w:hAnsi="Times New Roman" w:cs="Times New Roman"/>
          <w:sz w:val="24"/>
          <w:szCs w:val="24"/>
        </w:rPr>
        <w:t>técnicas</w:t>
      </w:r>
      <w:proofErr w:type="spellEnd"/>
      <w:r w:rsidRPr="00BA784D">
        <w:rPr>
          <w:rFonts w:ascii="Times New Roman" w:eastAsia="Times New Roman" w:hAnsi="Times New Roman" w:cs="Times New Roman"/>
          <w:sz w:val="24"/>
          <w:szCs w:val="24"/>
        </w:rPr>
        <w:t xml:space="preserve">, </w:t>
      </w:r>
      <w:proofErr w:type="spellStart"/>
      <w:r w:rsidRPr="00BA784D">
        <w:rPr>
          <w:rFonts w:ascii="Times New Roman" w:eastAsia="Times New Roman" w:hAnsi="Times New Roman" w:cs="Times New Roman"/>
          <w:sz w:val="24"/>
          <w:szCs w:val="24"/>
        </w:rPr>
        <w:t>físicas</w:t>
      </w:r>
      <w:proofErr w:type="spellEnd"/>
      <w:r w:rsidRPr="00BA784D">
        <w:rPr>
          <w:rFonts w:ascii="Times New Roman" w:eastAsia="Times New Roman" w:hAnsi="Times New Roman" w:cs="Times New Roman"/>
          <w:sz w:val="24"/>
          <w:szCs w:val="24"/>
        </w:rPr>
        <w:t xml:space="preserve">, cognitivas o de lenguaje; por lo que </w:t>
      </w:r>
      <w:proofErr w:type="spellStart"/>
      <w:r w:rsidRPr="00BA784D">
        <w:rPr>
          <w:rFonts w:ascii="Times New Roman" w:eastAsia="Times New Roman" w:hAnsi="Times New Roman" w:cs="Times New Roman"/>
          <w:sz w:val="24"/>
          <w:szCs w:val="24"/>
        </w:rPr>
        <w:t>comprenderán</w:t>
      </w:r>
      <w:proofErr w:type="spellEnd"/>
      <w:r w:rsidRPr="00BA784D">
        <w:rPr>
          <w:rFonts w:ascii="Times New Roman" w:eastAsia="Times New Roman" w:hAnsi="Times New Roman" w:cs="Times New Roman"/>
          <w:sz w:val="24"/>
          <w:szCs w:val="24"/>
        </w:rPr>
        <w:t xml:space="preserve"> el entorno </w:t>
      </w:r>
      <w:proofErr w:type="spellStart"/>
      <w:r w:rsidRPr="00BA784D">
        <w:rPr>
          <w:rFonts w:ascii="Times New Roman" w:eastAsia="Times New Roman" w:hAnsi="Times New Roman" w:cs="Times New Roman"/>
          <w:sz w:val="24"/>
          <w:szCs w:val="24"/>
        </w:rPr>
        <w:t>físico</w:t>
      </w:r>
      <w:proofErr w:type="spellEnd"/>
      <w:r w:rsidRPr="00BA784D">
        <w:rPr>
          <w:rFonts w:ascii="Times New Roman" w:eastAsia="Times New Roman" w:hAnsi="Times New Roman" w:cs="Times New Roman"/>
          <w:sz w:val="24"/>
          <w:szCs w:val="24"/>
        </w:rPr>
        <w:t xml:space="preserve"> de las instalaciones, la información y las comunicaciones e inclusive los sistemas y las </w:t>
      </w:r>
      <w:proofErr w:type="spellStart"/>
      <w:r w:rsidRPr="00BA784D">
        <w:rPr>
          <w:rFonts w:ascii="Times New Roman" w:eastAsia="Times New Roman" w:hAnsi="Times New Roman" w:cs="Times New Roman"/>
          <w:sz w:val="24"/>
          <w:szCs w:val="24"/>
        </w:rPr>
        <w:t>tecnologías</w:t>
      </w:r>
      <w:proofErr w:type="spellEnd"/>
      <w:r w:rsidRPr="00BA784D">
        <w:rPr>
          <w:rFonts w:ascii="Times New Roman" w:eastAsia="Times New Roman" w:hAnsi="Times New Roman" w:cs="Times New Roman"/>
          <w:sz w:val="24"/>
          <w:szCs w:val="24"/>
        </w:rPr>
        <w:t xml:space="preserve"> de la </w:t>
      </w:r>
      <w:proofErr w:type="spellStart"/>
      <w:r w:rsidRPr="00BA784D">
        <w:rPr>
          <w:rFonts w:ascii="Times New Roman" w:eastAsia="Times New Roman" w:hAnsi="Times New Roman" w:cs="Times New Roman"/>
          <w:sz w:val="24"/>
          <w:szCs w:val="24"/>
        </w:rPr>
        <w:t>información</w:t>
      </w:r>
      <w:proofErr w:type="spellEnd"/>
      <w:r w:rsidRPr="00BA784D">
        <w:rPr>
          <w:rFonts w:ascii="Times New Roman" w:eastAsia="Times New Roman" w:hAnsi="Times New Roman" w:cs="Times New Roman"/>
          <w:sz w:val="24"/>
          <w:szCs w:val="24"/>
        </w:rPr>
        <w:t xml:space="preserve">, </w:t>
      </w:r>
      <w:proofErr w:type="spellStart"/>
      <w:r w:rsidRPr="00BA784D">
        <w:rPr>
          <w:rFonts w:ascii="Times New Roman" w:eastAsia="Times New Roman" w:hAnsi="Times New Roman" w:cs="Times New Roman"/>
          <w:sz w:val="24"/>
          <w:szCs w:val="24"/>
        </w:rPr>
        <w:t>asi</w:t>
      </w:r>
      <w:proofErr w:type="spellEnd"/>
      <w:r w:rsidRPr="00BA784D">
        <w:rPr>
          <w:rFonts w:ascii="Times New Roman" w:eastAsia="Times New Roman" w:hAnsi="Times New Roman" w:cs="Times New Roman"/>
          <w:sz w:val="24"/>
          <w:szCs w:val="24"/>
        </w:rPr>
        <w:t xml:space="preserve">́ como las telecomunicaciones y otros servicios e instalaciones abiertos al </w:t>
      </w:r>
      <w:proofErr w:type="spellStart"/>
      <w:r w:rsidRPr="00BA784D">
        <w:rPr>
          <w:rFonts w:ascii="Times New Roman" w:eastAsia="Times New Roman" w:hAnsi="Times New Roman" w:cs="Times New Roman"/>
          <w:sz w:val="24"/>
          <w:szCs w:val="24"/>
        </w:rPr>
        <w:t>público</w:t>
      </w:r>
      <w:proofErr w:type="spellEnd"/>
      <w:r w:rsidRPr="00BA784D">
        <w:rPr>
          <w:rFonts w:ascii="Times New Roman" w:eastAsia="Times New Roman" w:hAnsi="Times New Roman" w:cs="Times New Roman"/>
          <w:sz w:val="24"/>
          <w:szCs w:val="24"/>
        </w:rPr>
        <w:t xml:space="preserve"> o de uso general, tanto en zonas urbanas como rurales;</w:t>
      </w:r>
    </w:p>
    <w:p w14:paraId="60625519" w14:textId="21F32268" w:rsidR="00E35B30" w:rsidRPr="00BA784D" w:rsidRDefault="0036612A">
      <w:pPr>
        <w:spacing w:before="200" w:after="200" w:line="360" w:lineRule="auto"/>
        <w:ind w:right="12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AGN: </w:t>
      </w:r>
      <w:r w:rsidRPr="00BA784D">
        <w:rPr>
          <w:rFonts w:ascii="Times New Roman" w:eastAsia="Times New Roman" w:hAnsi="Times New Roman" w:cs="Times New Roman"/>
          <w:sz w:val="24"/>
          <w:szCs w:val="24"/>
        </w:rPr>
        <w:t>Archivo General de la Nación</w:t>
      </w:r>
      <w:r w:rsidR="008B209A"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 xml:space="preserve"> </w:t>
      </w:r>
    </w:p>
    <w:p w14:paraId="3767975E" w14:textId="77777777" w:rsidR="00E35B30" w:rsidRPr="00BA784D" w:rsidRDefault="0036612A">
      <w:pPr>
        <w:spacing w:before="200" w:after="200" w:line="360" w:lineRule="auto"/>
        <w:ind w:right="12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Archivo</w:t>
      </w:r>
      <w:r w:rsidRPr="00BA784D">
        <w:rPr>
          <w:rFonts w:ascii="Times New Roman" w:eastAsia="Times New Roman" w:hAnsi="Times New Roman" w:cs="Times New Roman"/>
          <w:sz w:val="24"/>
          <w:szCs w:val="24"/>
        </w:rPr>
        <w:t xml:space="preserve">: El conjunto </w:t>
      </w:r>
      <w:proofErr w:type="spellStart"/>
      <w:r w:rsidRPr="00BA784D">
        <w:rPr>
          <w:rFonts w:ascii="Times New Roman" w:eastAsia="Times New Roman" w:hAnsi="Times New Roman" w:cs="Times New Roman"/>
          <w:sz w:val="24"/>
          <w:szCs w:val="24"/>
        </w:rPr>
        <w:t>orgánico</w:t>
      </w:r>
      <w:proofErr w:type="spellEnd"/>
      <w:r w:rsidRPr="00BA784D">
        <w:rPr>
          <w:rFonts w:ascii="Times New Roman" w:eastAsia="Times New Roman" w:hAnsi="Times New Roman" w:cs="Times New Roman"/>
          <w:sz w:val="24"/>
          <w:szCs w:val="24"/>
        </w:rPr>
        <w:t xml:space="preserve"> de documentos en cualquier soporte, que son producidos o recibidos por los sujetos obligados o los particulares en el ejercicio de sus atribuciones o en el desarrollo de sus actividades;</w:t>
      </w:r>
    </w:p>
    <w:p w14:paraId="1C26D195" w14:textId="077BA50F" w:rsidR="00E35B30" w:rsidRPr="00BA784D" w:rsidRDefault="0036612A">
      <w:pPr>
        <w:spacing w:before="200" w:after="200" w:line="360" w:lineRule="auto"/>
        <w:ind w:right="12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ASF: </w:t>
      </w:r>
      <w:r w:rsidRPr="00BA784D">
        <w:rPr>
          <w:rFonts w:ascii="Times New Roman" w:eastAsia="Times New Roman" w:hAnsi="Times New Roman" w:cs="Times New Roman"/>
          <w:sz w:val="24"/>
          <w:szCs w:val="24"/>
        </w:rPr>
        <w:t>Auditoría Superior de la Federación</w:t>
      </w:r>
      <w:r w:rsidR="008B209A"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 xml:space="preserve"> </w:t>
      </w:r>
    </w:p>
    <w:p w14:paraId="18431234" w14:textId="77777777" w:rsidR="00E35B30" w:rsidRPr="00BA784D" w:rsidRDefault="0036612A">
      <w:pPr>
        <w:spacing w:before="240" w:after="240" w:line="360" w:lineRule="auto"/>
        <w:jc w:val="both"/>
        <w:rPr>
          <w:rFonts w:ascii="Times New Roman" w:eastAsia="Times New Roman" w:hAnsi="Times New Roman" w:cs="Times New Roman"/>
          <w:sz w:val="24"/>
          <w:szCs w:val="24"/>
        </w:rPr>
      </w:pPr>
      <w:proofErr w:type="spellStart"/>
      <w:r w:rsidRPr="00BA784D">
        <w:rPr>
          <w:rFonts w:ascii="Times New Roman" w:eastAsia="Times New Roman" w:hAnsi="Times New Roman" w:cs="Times New Roman"/>
          <w:b/>
          <w:sz w:val="24"/>
          <w:szCs w:val="24"/>
        </w:rPr>
        <w:t>Comite</w:t>
      </w:r>
      <w:proofErr w:type="spellEnd"/>
      <w:r w:rsidRPr="00BA784D">
        <w:rPr>
          <w:rFonts w:ascii="Times New Roman" w:eastAsia="Times New Roman" w:hAnsi="Times New Roman" w:cs="Times New Roman"/>
          <w:b/>
          <w:sz w:val="24"/>
          <w:szCs w:val="24"/>
        </w:rPr>
        <w:t>́ de Transparencia</w:t>
      </w:r>
      <w:r w:rsidRPr="00BA784D">
        <w:rPr>
          <w:rFonts w:ascii="Times New Roman" w:eastAsia="Times New Roman" w:hAnsi="Times New Roman" w:cs="Times New Roman"/>
          <w:sz w:val="24"/>
          <w:szCs w:val="24"/>
        </w:rPr>
        <w:t xml:space="preserve">: La instancia a la que hace referencia el </w:t>
      </w:r>
      <w:proofErr w:type="spellStart"/>
      <w:r w:rsidRPr="00BA784D">
        <w:rPr>
          <w:rFonts w:ascii="Times New Roman" w:eastAsia="Times New Roman" w:hAnsi="Times New Roman" w:cs="Times New Roman"/>
          <w:sz w:val="24"/>
          <w:szCs w:val="24"/>
        </w:rPr>
        <w:t>artículo</w:t>
      </w:r>
      <w:proofErr w:type="spellEnd"/>
      <w:r w:rsidRPr="00BA784D">
        <w:rPr>
          <w:rFonts w:ascii="Times New Roman" w:eastAsia="Times New Roman" w:hAnsi="Times New Roman" w:cs="Times New Roman"/>
          <w:sz w:val="24"/>
          <w:szCs w:val="24"/>
        </w:rPr>
        <w:t xml:space="preserve"> 43 de la Ley General de Transparencia y Acceso a la Información Pública;</w:t>
      </w:r>
    </w:p>
    <w:p w14:paraId="1928D6DD" w14:textId="77777777" w:rsidR="00F56323" w:rsidRPr="00BA784D" w:rsidRDefault="0036612A">
      <w:pPr>
        <w:spacing w:before="240" w:after="24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CVFAIP</w:t>
      </w:r>
      <w:r w:rsidRPr="00BA784D">
        <w:rPr>
          <w:rFonts w:ascii="Times New Roman" w:eastAsia="Times New Roman" w:hAnsi="Times New Roman" w:cs="Times New Roman"/>
          <w:b/>
          <w:color w:val="424244"/>
          <w:sz w:val="24"/>
          <w:szCs w:val="24"/>
        </w:rPr>
        <w:t>:</w:t>
      </w:r>
      <w:r w:rsidRPr="00BA784D">
        <w:rPr>
          <w:rFonts w:ascii="Times New Roman" w:eastAsia="Times New Roman" w:hAnsi="Times New Roman" w:cs="Times New Roman"/>
          <w:color w:val="424244"/>
          <w:sz w:val="24"/>
          <w:szCs w:val="24"/>
        </w:rPr>
        <w:t xml:space="preserve"> </w:t>
      </w:r>
      <w:r w:rsidRPr="00BA784D">
        <w:rPr>
          <w:rFonts w:ascii="Times New Roman" w:eastAsia="Times New Roman" w:hAnsi="Times New Roman" w:cs="Times New Roman"/>
          <w:sz w:val="24"/>
          <w:szCs w:val="24"/>
        </w:rPr>
        <w:t xml:space="preserve">Centro Virtual de </w:t>
      </w:r>
      <w:proofErr w:type="spellStart"/>
      <w:r w:rsidRPr="00BA784D">
        <w:rPr>
          <w:rFonts w:ascii="Times New Roman" w:eastAsia="Times New Roman" w:hAnsi="Times New Roman" w:cs="Times New Roman"/>
          <w:sz w:val="24"/>
          <w:szCs w:val="24"/>
        </w:rPr>
        <w:t>Formación</w:t>
      </w:r>
      <w:proofErr w:type="spellEnd"/>
      <w:r w:rsidRPr="00BA784D">
        <w:rPr>
          <w:rFonts w:ascii="Times New Roman" w:eastAsia="Times New Roman" w:hAnsi="Times New Roman" w:cs="Times New Roman"/>
          <w:sz w:val="24"/>
          <w:szCs w:val="24"/>
        </w:rPr>
        <w:t xml:space="preserve"> en Acceso a la </w:t>
      </w:r>
      <w:proofErr w:type="spellStart"/>
      <w:r w:rsidRPr="00BA784D">
        <w:rPr>
          <w:rFonts w:ascii="Times New Roman" w:eastAsia="Times New Roman" w:hAnsi="Times New Roman" w:cs="Times New Roman"/>
          <w:sz w:val="24"/>
          <w:szCs w:val="24"/>
        </w:rPr>
        <w:t>Información</w:t>
      </w:r>
      <w:proofErr w:type="spellEnd"/>
      <w:r w:rsidRPr="00BA784D">
        <w:rPr>
          <w:rFonts w:ascii="Times New Roman" w:eastAsia="Times New Roman" w:hAnsi="Times New Roman" w:cs="Times New Roman"/>
          <w:sz w:val="24"/>
          <w:szCs w:val="24"/>
        </w:rPr>
        <w:t xml:space="preserve"> y </w:t>
      </w:r>
      <w:proofErr w:type="spellStart"/>
      <w:r w:rsidRPr="00BA784D">
        <w:rPr>
          <w:rFonts w:ascii="Times New Roman" w:eastAsia="Times New Roman" w:hAnsi="Times New Roman" w:cs="Times New Roman"/>
          <w:sz w:val="24"/>
          <w:szCs w:val="24"/>
        </w:rPr>
        <w:t>Protección</w:t>
      </w:r>
      <w:proofErr w:type="spellEnd"/>
      <w:r w:rsidRPr="00BA784D">
        <w:rPr>
          <w:rFonts w:ascii="Times New Roman" w:eastAsia="Times New Roman" w:hAnsi="Times New Roman" w:cs="Times New Roman"/>
          <w:sz w:val="24"/>
          <w:szCs w:val="24"/>
        </w:rPr>
        <w:t xml:space="preserve"> de Datos Personales</w:t>
      </w:r>
      <w:r w:rsidR="008B209A" w:rsidRPr="00BA784D">
        <w:rPr>
          <w:rFonts w:ascii="Times New Roman" w:eastAsia="Times New Roman" w:hAnsi="Times New Roman" w:cs="Times New Roman"/>
          <w:sz w:val="24"/>
          <w:szCs w:val="24"/>
        </w:rPr>
        <w:t>;</w:t>
      </w:r>
    </w:p>
    <w:p w14:paraId="7E476C62" w14:textId="4EC79D66" w:rsidR="00E35B30" w:rsidRPr="00BA784D" w:rsidRDefault="00505E6F">
      <w:pPr>
        <w:spacing w:before="240" w:after="24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CNTAIPPDPF</w:t>
      </w:r>
      <w:r w:rsidR="0036612A" w:rsidRPr="00BA784D">
        <w:rPr>
          <w:rFonts w:ascii="Times New Roman" w:eastAsia="Times New Roman" w:hAnsi="Times New Roman" w:cs="Times New Roman"/>
          <w:b/>
          <w:sz w:val="24"/>
          <w:szCs w:val="24"/>
        </w:rPr>
        <w:t>:</w:t>
      </w:r>
      <w:r w:rsidR="0036612A" w:rsidRPr="00BA784D">
        <w:rPr>
          <w:rFonts w:ascii="Times New Roman" w:eastAsia="Times New Roman" w:hAnsi="Times New Roman" w:cs="Times New Roman"/>
          <w:sz w:val="24"/>
          <w:szCs w:val="24"/>
        </w:rPr>
        <w:t xml:space="preserve"> Censo Nacional de Transparencia, Acceso a la Información Pública y Protección de Datos Personales</w:t>
      </w:r>
      <w:r w:rsidRPr="00BA784D">
        <w:rPr>
          <w:rFonts w:ascii="Times New Roman" w:eastAsia="Times New Roman" w:hAnsi="Times New Roman" w:cs="Times New Roman"/>
          <w:sz w:val="24"/>
          <w:szCs w:val="24"/>
        </w:rPr>
        <w:t xml:space="preserve"> Federal</w:t>
      </w:r>
      <w:r w:rsidR="008B209A" w:rsidRPr="00BA784D">
        <w:rPr>
          <w:rFonts w:ascii="Times New Roman" w:eastAsia="Times New Roman" w:hAnsi="Times New Roman" w:cs="Times New Roman"/>
          <w:sz w:val="24"/>
          <w:szCs w:val="24"/>
        </w:rPr>
        <w:t>;</w:t>
      </w:r>
    </w:p>
    <w:p w14:paraId="21F0ED60" w14:textId="008C13C7" w:rsidR="00505E6F" w:rsidRPr="00BA784D" w:rsidRDefault="00505E6F">
      <w:pPr>
        <w:spacing w:before="240" w:after="24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bCs/>
          <w:sz w:val="24"/>
          <w:szCs w:val="24"/>
        </w:rPr>
        <w:t xml:space="preserve">CNTAIPPDPE: </w:t>
      </w:r>
      <w:r w:rsidRPr="00BA784D">
        <w:rPr>
          <w:rFonts w:ascii="Times New Roman" w:eastAsia="Times New Roman" w:hAnsi="Times New Roman" w:cs="Times New Roman"/>
          <w:sz w:val="24"/>
          <w:szCs w:val="24"/>
        </w:rPr>
        <w:t>Censo Nacional de Transparencia, Acceso a la Información Pública y Protección de Datos Personales Estatal</w:t>
      </w:r>
      <w:r w:rsidR="008B209A" w:rsidRPr="00BA784D">
        <w:rPr>
          <w:rFonts w:ascii="Times New Roman" w:eastAsia="Times New Roman" w:hAnsi="Times New Roman" w:cs="Times New Roman"/>
          <w:sz w:val="24"/>
          <w:szCs w:val="24"/>
        </w:rPr>
        <w:t>;</w:t>
      </w:r>
    </w:p>
    <w:p w14:paraId="1515DAB9" w14:textId="77777777" w:rsidR="00E35B30" w:rsidRPr="00BA784D" w:rsidRDefault="0036612A">
      <w:pPr>
        <w:spacing w:before="240" w:after="24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Datos abiertos</w:t>
      </w:r>
      <w:r w:rsidRPr="00BA784D">
        <w:rPr>
          <w:rFonts w:ascii="Times New Roman" w:eastAsia="Times New Roman" w:hAnsi="Times New Roman" w:cs="Times New Roman"/>
          <w:sz w:val="24"/>
          <w:szCs w:val="24"/>
        </w:rPr>
        <w:t xml:space="preserve">: Los datos digitales de </w:t>
      </w:r>
      <w:proofErr w:type="spellStart"/>
      <w:r w:rsidRPr="00BA784D">
        <w:rPr>
          <w:rFonts w:ascii="Times New Roman" w:eastAsia="Times New Roman" w:hAnsi="Times New Roman" w:cs="Times New Roman"/>
          <w:sz w:val="24"/>
          <w:szCs w:val="24"/>
        </w:rPr>
        <w:t>carácter</w:t>
      </w:r>
      <w:proofErr w:type="spellEnd"/>
      <w:r w:rsidRPr="00BA784D">
        <w:rPr>
          <w:rFonts w:ascii="Times New Roman" w:eastAsia="Times New Roman" w:hAnsi="Times New Roman" w:cs="Times New Roman"/>
          <w:sz w:val="24"/>
          <w:szCs w:val="24"/>
        </w:rPr>
        <w:t xml:space="preserve"> </w:t>
      </w:r>
      <w:proofErr w:type="spellStart"/>
      <w:r w:rsidRPr="00BA784D">
        <w:rPr>
          <w:rFonts w:ascii="Times New Roman" w:eastAsia="Times New Roman" w:hAnsi="Times New Roman" w:cs="Times New Roman"/>
          <w:sz w:val="24"/>
          <w:szCs w:val="24"/>
        </w:rPr>
        <w:t>público</w:t>
      </w:r>
      <w:proofErr w:type="spellEnd"/>
      <w:r w:rsidRPr="00BA784D">
        <w:rPr>
          <w:rFonts w:ascii="Times New Roman" w:eastAsia="Times New Roman" w:hAnsi="Times New Roman" w:cs="Times New Roman"/>
          <w:sz w:val="24"/>
          <w:szCs w:val="24"/>
        </w:rPr>
        <w:t xml:space="preserve"> que son accesibles en </w:t>
      </w:r>
      <w:proofErr w:type="spellStart"/>
      <w:r w:rsidRPr="00BA784D">
        <w:rPr>
          <w:rFonts w:ascii="Times New Roman" w:eastAsia="Times New Roman" w:hAnsi="Times New Roman" w:cs="Times New Roman"/>
          <w:sz w:val="24"/>
          <w:szCs w:val="24"/>
        </w:rPr>
        <w:t>línea</w:t>
      </w:r>
      <w:proofErr w:type="spellEnd"/>
      <w:r w:rsidRPr="00BA784D">
        <w:rPr>
          <w:rFonts w:ascii="Times New Roman" w:eastAsia="Times New Roman" w:hAnsi="Times New Roman" w:cs="Times New Roman"/>
          <w:sz w:val="24"/>
          <w:szCs w:val="24"/>
        </w:rPr>
        <w:t xml:space="preserve"> que pueden ser usados, reutilizados y redistribuidos por cualquier interesado;</w:t>
      </w:r>
    </w:p>
    <w:p w14:paraId="0274AD13" w14:textId="77777777" w:rsidR="00E35B30" w:rsidRPr="00BA784D" w:rsidRDefault="0036612A">
      <w:pPr>
        <w:spacing w:before="240" w:after="24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Derechos Humanos: </w:t>
      </w:r>
      <w:r w:rsidRPr="00BA784D">
        <w:rPr>
          <w:rFonts w:ascii="Times New Roman" w:eastAsia="Times New Roman" w:hAnsi="Times New Roman" w:cs="Times New Roman"/>
          <w:sz w:val="24"/>
          <w:szCs w:val="24"/>
        </w:rPr>
        <w:t xml:space="preserve">Conjunto de prerrogativas sustentadas en la dignidad humana, cuya </w:t>
      </w:r>
      <w:proofErr w:type="spellStart"/>
      <w:r w:rsidRPr="00BA784D">
        <w:rPr>
          <w:rFonts w:ascii="Times New Roman" w:eastAsia="Times New Roman" w:hAnsi="Times New Roman" w:cs="Times New Roman"/>
          <w:sz w:val="24"/>
          <w:szCs w:val="24"/>
        </w:rPr>
        <w:t>realización</w:t>
      </w:r>
      <w:proofErr w:type="spellEnd"/>
      <w:r w:rsidRPr="00BA784D">
        <w:rPr>
          <w:rFonts w:ascii="Times New Roman" w:eastAsia="Times New Roman" w:hAnsi="Times New Roman" w:cs="Times New Roman"/>
          <w:sz w:val="24"/>
          <w:szCs w:val="24"/>
        </w:rPr>
        <w:t xml:space="preserve"> efectiva resulta indispensable para el desarrollo integral de la persona. Este conjunto de prerrogativas se encuentra establecido dentro del orden </w:t>
      </w:r>
      <w:proofErr w:type="spellStart"/>
      <w:r w:rsidRPr="00BA784D">
        <w:rPr>
          <w:rFonts w:ascii="Times New Roman" w:eastAsia="Times New Roman" w:hAnsi="Times New Roman" w:cs="Times New Roman"/>
          <w:sz w:val="24"/>
          <w:szCs w:val="24"/>
        </w:rPr>
        <w:t>jurídico</w:t>
      </w:r>
      <w:proofErr w:type="spellEnd"/>
      <w:r w:rsidRPr="00BA784D">
        <w:rPr>
          <w:rFonts w:ascii="Times New Roman" w:eastAsia="Times New Roman" w:hAnsi="Times New Roman" w:cs="Times New Roman"/>
          <w:sz w:val="24"/>
          <w:szCs w:val="24"/>
        </w:rPr>
        <w:t xml:space="preserve"> nacional, en nuestra </w:t>
      </w:r>
      <w:proofErr w:type="spellStart"/>
      <w:r w:rsidRPr="00BA784D">
        <w:rPr>
          <w:rFonts w:ascii="Times New Roman" w:eastAsia="Times New Roman" w:hAnsi="Times New Roman" w:cs="Times New Roman"/>
          <w:sz w:val="24"/>
          <w:szCs w:val="24"/>
        </w:rPr>
        <w:t>Constitución</w:t>
      </w:r>
      <w:proofErr w:type="spellEnd"/>
      <w:r w:rsidRPr="00BA784D">
        <w:rPr>
          <w:rFonts w:ascii="Times New Roman" w:eastAsia="Times New Roman" w:hAnsi="Times New Roman" w:cs="Times New Roman"/>
          <w:sz w:val="24"/>
          <w:szCs w:val="24"/>
        </w:rPr>
        <w:t xml:space="preserve"> </w:t>
      </w:r>
      <w:proofErr w:type="spellStart"/>
      <w:r w:rsidRPr="00BA784D">
        <w:rPr>
          <w:rFonts w:ascii="Times New Roman" w:eastAsia="Times New Roman" w:hAnsi="Times New Roman" w:cs="Times New Roman"/>
          <w:sz w:val="24"/>
          <w:szCs w:val="24"/>
        </w:rPr>
        <w:t>Política</w:t>
      </w:r>
      <w:proofErr w:type="spellEnd"/>
      <w:r w:rsidRPr="00BA784D">
        <w:rPr>
          <w:rFonts w:ascii="Times New Roman" w:eastAsia="Times New Roman" w:hAnsi="Times New Roman" w:cs="Times New Roman"/>
          <w:sz w:val="24"/>
          <w:szCs w:val="24"/>
        </w:rPr>
        <w:t>, tratados internacionales y las leyes;</w:t>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lastRenderedPageBreak/>
        <w:tab/>
      </w:r>
    </w:p>
    <w:p w14:paraId="5120586A" w14:textId="77777777" w:rsidR="00E35B30" w:rsidRPr="00BA784D" w:rsidRDefault="0036612A">
      <w:pPr>
        <w:spacing w:before="240" w:after="240" w:line="360" w:lineRule="auto"/>
        <w:jc w:val="both"/>
        <w:rPr>
          <w:rFonts w:ascii="Times New Roman" w:eastAsia="Times New Roman" w:hAnsi="Times New Roman" w:cs="Times New Roman"/>
          <w:sz w:val="24"/>
          <w:szCs w:val="24"/>
        </w:rPr>
      </w:pPr>
      <w:proofErr w:type="spellStart"/>
      <w:r w:rsidRPr="00BA784D">
        <w:rPr>
          <w:rFonts w:ascii="Times New Roman" w:eastAsia="Times New Roman" w:hAnsi="Times New Roman" w:cs="Times New Roman"/>
          <w:b/>
          <w:sz w:val="24"/>
          <w:szCs w:val="24"/>
        </w:rPr>
        <w:t>Digitalización</w:t>
      </w:r>
      <w:proofErr w:type="spellEnd"/>
      <w:r w:rsidRPr="00BA784D">
        <w:rPr>
          <w:rFonts w:ascii="Times New Roman" w:eastAsia="Times New Roman" w:hAnsi="Times New Roman" w:cs="Times New Roman"/>
          <w:sz w:val="24"/>
          <w:szCs w:val="24"/>
        </w:rPr>
        <w:t xml:space="preserve">: La </w:t>
      </w:r>
      <w:proofErr w:type="spellStart"/>
      <w:r w:rsidRPr="00BA784D">
        <w:rPr>
          <w:rFonts w:ascii="Times New Roman" w:eastAsia="Times New Roman" w:hAnsi="Times New Roman" w:cs="Times New Roman"/>
          <w:sz w:val="24"/>
          <w:szCs w:val="24"/>
        </w:rPr>
        <w:t>técnica</w:t>
      </w:r>
      <w:proofErr w:type="spellEnd"/>
      <w:r w:rsidRPr="00BA784D">
        <w:rPr>
          <w:rFonts w:ascii="Times New Roman" w:eastAsia="Times New Roman" w:hAnsi="Times New Roman" w:cs="Times New Roman"/>
          <w:sz w:val="24"/>
          <w:szCs w:val="24"/>
        </w:rPr>
        <w:t xml:space="preserve"> que permite convertir la información que se encuentra guardada de manera </w:t>
      </w:r>
      <w:proofErr w:type="spellStart"/>
      <w:r w:rsidRPr="00BA784D">
        <w:rPr>
          <w:rFonts w:ascii="Times New Roman" w:eastAsia="Times New Roman" w:hAnsi="Times New Roman" w:cs="Times New Roman"/>
          <w:sz w:val="24"/>
          <w:szCs w:val="24"/>
        </w:rPr>
        <w:t>analógica</w:t>
      </w:r>
      <w:proofErr w:type="spellEnd"/>
      <w:r w:rsidRPr="00BA784D">
        <w:rPr>
          <w:rFonts w:ascii="Times New Roman" w:eastAsia="Times New Roman" w:hAnsi="Times New Roman" w:cs="Times New Roman"/>
          <w:sz w:val="24"/>
          <w:szCs w:val="24"/>
        </w:rPr>
        <w:t xml:space="preserve">, en soportes como papel, video, casetes, cinta, </w:t>
      </w:r>
      <w:proofErr w:type="spellStart"/>
      <w:r w:rsidRPr="00BA784D">
        <w:rPr>
          <w:rFonts w:ascii="Times New Roman" w:eastAsia="Times New Roman" w:hAnsi="Times New Roman" w:cs="Times New Roman"/>
          <w:sz w:val="24"/>
          <w:szCs w:val="24"/>
        </w:rPr>
        <w:t>película</w:t>
      </w:r>
      <w:proofErr w:type="spellEnd"/>
      <w:r w:rsidRPr="00BA784D">
        <w:rPr>
          <w:rFonts w:ascii="Times New Roman" w:eastAsia="Times New Roman" w:hAnsi="Times New Roman" w:cs="Times New Roman"/>
          <w:sz w:val="24"/>
          <w:szCs w:val="24"/>
        </w:rPr>
        <w:t xml:space="preserve">, microfilm, </w:t>
      </w:r>
      <w:proofErr w:type="spellStart"/>
      <w:r w:rsidRPr="00BA784D">
        <w:rPr>
          <w:rFonts w:ascii="Times New Roman" w:eastAsia="Times New Roman" w:hAnsi="Times New Roman" w:cs="Times New Roman"/>
          <w:sz w:val="24"/>
          <w:szCs w:val="24"/>
        </w:rPr>
        <w:t>etcétera</w:t>
      </w:r>
      <w:proofErr w:type="spellEnd"/>
      <w:r w:rsidRPr="00BA784D">
        <w:rPr>
          <w:rFonts w:ascii="Times New Roman" w:eastAsia="Times New Roman" w:hAnsi="Times New Roman" w:cs="Times New Roman"/>
          <w:sz w:val="24"/>
          <w:szCs w:val="24"/>
        </w:rPr>
        <w:t xml:space="preserve">, en una forma que </w:t>
      </w:r>
      <w:proofErr w:type="spellStart"/>
      <w:r w:rsidRPr="00BA784D">
        <w:rPr>
          <w:rFonts w:ascii="Times New Roman" w:eastAsia="Times New Roman" w:hAnsi="Times New Roman" w:cs="Times New Roman"/>
          <w:sz w:val="24"/>
          <w:szCs w:val="24"/>
        </w:rPr>
        <w:t>sólo</w:t>
      </w:r>
      <w:proofErr w:type="spellEnd"/>
      <w:r w:rsidRPr="00BA784D">
        <w:rPr>
          <w:rFonts w:ascii="Times New Roman" w:eastAsia="Times New Roman" w:hAnsi="Times New Roman" w:cs="Times New Roman"/>
          <w:sz w:val="24"/>
          <w:szCs w:val="24"/>
        </w:rPr>
        <w:t xml:space="preserve"> puede leerse o interpretarse por medio de una infraestructura </w:t>
      </w:r>
      <w:proofErr w:type="spellStart"/>
      <w:r w:rsidRPr="00BA784D">
        <w:rPr>
          <w:rFonts w:ascii="Times New Roman" w:eastAsia="Times New Roman" w:hAnsi="Times New Roman" w:cs="Times New Roman"/>
          <w:sz w:val="24"/>
          <w:szCs w:val="24"/>
        </w:rPr>
        <w:t>tecnológica</w:t>
      </w:r>
      <w:proofErr w:type="spellEnd"/>
      <w:r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p>
    <w:p w14:paraId="60ECC249" w14:textId="77777777" w:rsidR="00E35B30" w:rsidRPr="00BA784D" w:rsidRDefault="0036612A">
      <w:pPr>
        <w:spacing w:before="240" w:after="240" w:line="360" w:lineRule="auto"/>
        <w:jc w:val="both"/>
        <w:rPr>
          <w:rFonts w:ascii="Times New Roman" w:eastAsia="Times New Roman" w:hAnsi="Times New Roman" w:cs="Times New Roman"/>
          <w:sz w:val="24"/>
          <w:szCs w:val="24"/>
        </w:rPr>
      </w:pPr>
      <w:proofErr w:type="spellStart"/>
      <w:r w:rsidRPr="00BA784D">
        <w:rPr>
          <w:rFonts w:ascii="Times New Roman" w:eastAsia="Times New Roman" w:hAnsi="Times New Roman" w:cs="Times New Roman"/>
          <w:b/>
          <w:sz w:val="24"/>
          <w:szCs w:val="24"/>
        </w:rPr>
        <w:t>Discriminación</w:t>
      </w:r>
      <w:proofErr w:type="spellEnd"/>
      <w:r w:rsidRPr="00BA784D">
        <w:rPr>
          <w:rFonts w:ascii="Times New Roman" w:eastAsia="Times New Roman" w:hAnsi="Times New Roman" w:cs="Times New Roman"/>
          <w:sz w:val="24"/>
          <w:szCs w:val="24"/>
        </w:rPr>
        <w:t xml:space="preserve">: Toda </w:t>
      </w:r>
      <w:proofErr w:type="spellStart"/>
      <w:r w:rsidRPr="00BA784D">
        <w:rPr>
          <w:rFonts w:ascii="Times New Roman" w:eastAsia="Times New Roman" w:hAnsi="Times New Roman" w:cs="Times New Roman"/>
          <w:sz w:val="24"/>
          <w:szCs w:val="24"/>
        </w:rPr>
        <w:t>distinción</w:t>
      </w:r>
      <w:proofErr w:type="spellEnd"/>
      <w:r w:rsidRPr="00BA784D">
        <w:rPr>
          <w:rFonts w:ascii="Times New Roman" w:eastAsia="Times New Roman" w:hAnsi="Times New Roman" w:cs="Times New Roman"/>
          <w:sz w:val="24"/>
          <w:szCs w:val="24"/>
        </w:rPr>
        <w:t xml:space="preserve">, </w:t>
      </w:r>
      <w:proofErr w:type="spellStart"/>
      <w:r w:rsidRPr="00BA784D">
        <w:rPr>
          <w:rFonts w:ascii="Times New Roman" w:eastAsia="Times New Roman" w:hAnsi="Times New Roman" w:cs="Times New Roman"/>
          <w:sz w:val="24"/>
          <w:szCs w:val="24"/>
        </w:rPr>
        <w:t>exclusión</w:t>
      </w:r>
      <w:proofErr w:type="spellEnd"/>
      <w:r w:rsidRPr="00BA784D">
        <w:rPr>
          <w:rFonts w:ascii="Times New Roman" w:eastAsia="Times New Roman" w:hAnsi="Times New Roman" w:cs="Times New Roman"/>
          <w:sz w:val="24"/>
          <w:szCs w:val="24"/>
        </w:rPr>
        <w:t xml:space="preserve">, </w:t>
      </w:r>
      <w:proofErr w:type="spellStart"/>
      <w:r w:rsidRPr="00BA784D">
        <w:rPr>
          <w:rFonts w:ascii="Times New Roman" w:eastAsia="Times New Roman" w:hAnsi="Times New Roman" w:cs="Times New Roman"/>
          <w:sz w:val="24"/>
          <w:szCs w:val="24"/>
        </w:rPr>
        <w:t>restricción</w:t>
      </w:r>
      <w:proofErr w:type="spellEnd"/>
      <w:r w:rsidRPr="00BA784D">
        <w:rPr>
          <w:rFonts w:ascii="Times New Roman" w:eastAsia="Times New Roman" w:hAnsi="Times New Roman" w:cs="Times New Roman"/>
          <w:sz w:val="24"/>
          <w:szCs w:val="24"/>
        </w:rPr>
        <w:t xml:space="preserve"> o preferencia que, por </w:t>
      </w:r>
      <w:proofErr w:type="spellStart"/>
      <w:r w:rsidRPr="00BA784D">
        <w:rPr>
          <w:rFonts w:ascii="Times New Roman" w:eastAsia="Times New Roman" w:hAnsi="Times New Roman" w:cs="Times New Roman"/>
          <w:sz w:val="24"/>
          <w:szCs w:val="24"/>
        </w:rPr>
        <w:t>acción</w:t>
      </w:r>
      <w:proofErr w:type="spellEnd"/>
      <w:r w:rsidRPr="00BA784D">
        <w:rPr>
          <w:rFonts w:ascii="Times New Roman" w:eastAsia="Times New Roman" w:hAnsi="Times New Roman" w:cs="Times New Roman"/>
          <w:sz w:val="24"/>
          <w:szCs w:val="24"/>
        </w:rPr>
        <w:t xml:space="preserve"> u </w:t>
      </w:r>
      <w:proofErr w:type="spellStart"/>
      <w:r w:rsidRPr="00BA784D">
        <w:rPr>
          <w:rFonts w:ascii="Times New Roman" w:eastAsia="Times New Roman" w:hAnsi="Times New Roman" w:cs="Times New Roman"/>
          <w:sz w:val="24"/>
          <w:szCs w:val="24"/>
        </w:rPr>
        <w:t>omisión</w:t>
      </w:r>
      <w:proofErr w:type="spellEnd"/>
      <w:r w:rsidRPr="00BA784D">
        <w:rPr>
          <w:rFonts w:ascii="Times New Roman" w:eastAsia="Times New Roman" w:hAnsi="Times New Roman" w:cs="Times New Roman"/>
          <w:sz w:val="24"/>
          <w:szCs w:val="24"/>
        </w:rPr>
        <w:t xml:space="preserve">, con </w:t>
      </w:r>
      <w:proofErr w:type="spellStart"/>
      <w:r w:rsidRPr="00BA784D">
        <w:rPr>
          <w:rFonts w:ascii="Times New Roman" w:eastAsia="Times New Roman" w:hAnsi="Times New Roman" w:cs="Times New Roman"/>
          <w:sz w:val="24"/>
          <w:szCs w:val="24"/>
        </w:rPr>
        <w:t>intención</w:t>
      </w:r>
      <w:proofErr w:type="spellEnd"/>
      <w:r w:rsidRPr="00BA784D">
        <w:rPr>
          <w:rFonts w:ascii="Times New Roman" w:eastAsia="Times New Roman" w:hAnsi="Times New Roman" w:cs="Times New Roman"/>
          <w:sz w:val="24"/>
          <w:szCs w:val="24"/>
        </w:rPr>
        <w:t xml:space="preserve"> o sin ella, no sea objetiva, racional ni proporcional y tenga por objeto o resultado obstaculizar, restringir, impedir, menoscabar o anular el reconocimiento, goce o ejercicio de los derechos humanos y libertades, cuando se base en uno o </w:t>
      </w:r>
      <w:proofErr w:type="spellStart"/>
      <w:r w:rsidRPr="00BA784D">
        <w:rPr>
          <w:rFonts w:ascii="Times New Roman" w:eastAsia="Times New Roman" w:hAnsi="Times New Roman" w:cs="Times New Roman"/>
          <w:sz w:val="24"/>
          <w:szCs w:val="24"/>
        </w:rPr>
        <w:t>más</w:t>
      </w:r>
      <w:proofErr w:type="spellEnd"/>
      <w:r w:rsidRPr="00BA784D">
        <w:rPr>
          <w:rFonts w:ascii="Times New Roman" w:eastAsia="Times New Roman" w:hAnsi="Times New Roman" w:cs="Times New Roman"/>
          <w:sz w:val="24"/>
          <w:szCs w:val="24"/>
        </w:rPr>
        <w:t xml:space="preserve"> de los siguientes motivos: el origen </w:t>
      </w:r>
      <w:proofErr w:type="spellStart"/>
      <w:r w:rsidRPr="00BA784D">
        <w:rPr>
          <w:rFonts w:ascii="Times New Roman" w:eastAsia="Times New Roman" w:hAnsi="Times New Roman" w:cs="Times New Roman"/>
          <w:sz w:val="24"/>
          <w:szCs w:val="24"/>
        </w:rPr>
        <w:t>étnico</w:t>
      </w:r>
      <w:proofErr w:type="spellEnd"/>
      <w:r w:rsidRPr="00BA784D">
        <w:rPr>
          <w:rFonts w:ascii="Times New Roman" w:eastAsia="Times New Roman" w:hAnsi="Times New Roman" w:cs="Times New Roman"/>
          <w:sz w:val="24"/>
          <w:szCs w:val="24"/>
        </w:rPr>
        <w:t xml:space="preserve"> o nacional, el color de piel, la cultura, el sexo, el </w:t>
      </w:r>
      <w:proofErr w:type="spellStart"/>
      <w:r w:rsidRPr="00BA784D">
        <w:rPr>
          <w:rFonts w:ascii="Times New Roman" w:eastAsia="Times New Roman" w:hAnsi="Times New Roman" w:cs="Times New Roman"/>
          <w:sz w:val="24"/>
          <w:szCs w:val="24"/>
        </w:rPr>
        <w:t>género</w:t>
      </w:r>
      <w:proofErr w:type="spellEnd"/>
      <w:r w:rsidRPr="00BA784D">
        <w:rPr>
          <w:rFonts w:ascii="Times New Roman" w:eastAsia="Times New Roman" w:hAnsi="Times New Roman" w:cs="Times New Roman"/>
          <w:sz w:val="24"/>
          <w:szCs w:val="24"/>
        </w:rPr>
        <w:t xml:space="preserve">, la edad, las discapacidades, la </w:t>
      </w:r>
      <w:proofErr w:type="spellStart"/>
      <w:r w:rsidRPr="00BA784D">
        <w:rPr>
          <w:rFonts w:ascii="Times New Roman" w:eastAsia="Times New Roman" w:hAnsi="Times New Roman" w:cs="Times New Roman"/>
          <w:sz w:val="24"/>
          <w:szCs w:val="24"/>
        </w:rPr>
        <w:t>condición</w:t>
      </w:r>
      <w:proofErr w:type="spellEnd"/>
      <w:r w:rsidRPr="00BA784D">
        <w:rPr>
          <w:rFonts w:ascii="Times New Roman" w:eastAsia="Times New Roman" w:hAnsi="Times New Roman" w:cs="Times New Roman"/>
          <w:sz w:val="24"/>
          <w:szCs w:val="24"/>
        </w:rPr>
        <w:t xml:space="preserve"> social, </w:t>
      </w:r>
      <w:proofErr w:type="spellStart"/>
      <w:r w:rsidRPr="00BA784D">
        <w:rPr>
          <w:rFonts w:ascii="Times New Roman" w:eastAsia="Times New Roman" w:hAnsi="Times New Roman" w:cs="Times New Roman"/>
          <w:sz w:val="24"/>
          <w:szCs w:val="24"/>
        </w:rPr>
        <w:t>económica</w:t>
      </w:r>
      <w:proofErr w:type="spellEnd"/>
      <w:r w:rsidRPr="00BA784D">
        <w:rPr>
          <w:rFonts w:ascii="Times New Roman" w:eastAsia="Times New Roman" w:hAnsi="Times New Roman" w:cs="Times New Roman"/>
          <w:sz w:val="24"/>
          <w:szCs w:val="24"/>
        </w:rPr>
        <w:t xml:space="preserve">, de salud o </w:t>
      </w:r>
      <w:proofErr w:type="spellStart"/>
      <w:r w:rsidRPr="00BA784D">
        <w:rPr>
          <w:rFonts w:ascii="Times New Roman" w:eastAsia="Times New Roman" w:hAnsi="Times New Roman" w:cs="Times New Roman"/>
          <w:sz w:val="24"/>
          <w:szCs w:val="24"/>
        </w:rPr>
        <w:t>jurídica</w:t>
      </w:r>
      <w:proofErr w:type="spellEnd"/>
      <w:r w:rsidRPr="00BA784D">
        <w:rPr>
          <w:rFonts w:ascii="Times New Roman" w:eastAsia="Times New Roman" w:hAnsi="Times New Roman" w:cs="Times New Roman"/>
          <w:sz w:val="24"/>
          <w:szCs w:val="24"/>
        </w:rPr>
        <w:t xml:space="preserve">, la </w:t>
      </w:r>
      <w:proofErr w:type="spellStart"/>
      <w:r w:rsidRPr="00BA784D">
        <w:rPr>
          <w:rFonts w:ascii="Times New Roman" w:eastAsia="Times New Roman" w:hAnsi="Times New Roman" w:cs="Times New Roman"/>
          <w:sz w:val="24"/>
          <w:szCs w:val="24"/>
        </w:rPr>
        <w:t>religión</w:t>
      </w:r>
      <w:proofErr w:type="spellEnd"/>
      <w:r w:rsidRPr="00BA784D">
        <w:rPr>
          <w:rFonts w:ascii="Times New Roman" w:eastAsia="Times New Roman" w:hAnsi="Times New Roman" w:cs="Times New Roman"/>
          <w:sz w:val="24"/>
          <w:szCs w:val="24"/>
        </w:rPr>
        <w:t xml:space="preserve">, la apariencia </w:t>
      </w:r>
      <w:proofErr w:type="spellStart"/>
      <w:r w:rsidRPr="00BA784D">
        <w:rPr>
          <w:rFonts w:ascii="Times New Roman" w:eastAsia="Times New Roman" w:hAnsi="Times New Roman" w:cs="Times New Roman"/>
          <w:sz w:val="24"/>
          <w:szCs w:val="24"/>
        </w:rPr>
        <w:t>física</w:t>
      </w:r>
      <w:proofErr w:type="spellEnd"/>
      <w:r w:rsidRPr="00BA784D">
        <w:rPr>
          <w:rFonts w:ascii="Times New Roman" w:eastAsia="Times New Roman" w:hAnsi="Times New Roman" w:cs="Times New Roman"/>
          <w:sz w:val="24"/>
          <w:szCs w:val="24"/>
        </w:rPr>
        <w:t xml:space="preserve">, las </w:t>
      </w:r>
      <w:proofErr w:type="spellStart"/>
      <w:r w:rsidRPr="00BA784D">
        <w:rPr>
          <w:rFonts w:ascii="Times New Roman" w:eastAsia="Times New Roman" w:hAnsi="Times New Roman" w:cs="Times New Roman"/>
          <w:sz w:val="24"/>
          <w:szCs w:val="24"/>
        </w:rPr>
        <w:t>características</w:t>
      </w:r>
      <w:proofErr w:type="spellEnd"/>
      <w:r w:rsidRPr="00BA784D">
        <w:rPr>
          <w:rFonts w:ascii="Times New Roman" w:eastAsia="Times New Roman" w:hAnsi="Times New Roman" w:cs="Times New Roman"/>
          <w:sz w:val="24"/>
          <w:szCs w:val="24"/>
        </w:rPr>
        <w:t xml:space="preserve"> </w:t>
      </w:r>
      <w:proofErr w:type="spellStart"/>
      <w:r w:rsidRPr="00BA784D">
        <w:rPr>
          <w:rFonts w:ascii="Times New Roman" w:eastAsia="Times New Roman" w:hAnsi="Times New Roman" w:cs="Times New Roman"/>
          <w:sz w:val="24"/>
          <w:szCs w:val="24"/>
        </w:rPr>
        <w:t>genéticas</w:t>
      </w:r>
      <w:proofErr w:type="spellEnd"/>
      <w:r w:rsidRPr="00BA784D">
        <w:rPr>
          <w:rFonts w:ascii="Times New Roman" w:eastAsia="Times New Roman" w:hAnsi="Times New Roman" w:cs="Times New Roman"/>
          <w:sz w:val="24"/>
          <w:szCs w:val="24"/>
        </w:rPr>
        <w:t xml:space="preserve">, la </w:t>
      </w:r>
      <w:proofErr w:type="spellStart"/>
      <w:r w:rsidRPr="00BA784D">
        <w:rPr>
          <w:rFonts w:ascii="Times New Roman" w:eastAsia="Times New Roman" w:hAnsi="Times New Roman" w:cs="Times New Roman"/>
          <w:sz w:val="24"/>
          <w:szCs w:val="24"/>
        </w:rPr>
        <w:t>situación</w:t>
      </w:r>
      <w:proofErr w:type="spellEnd"/>
      <w:r w:rsidRPr="00BA784D">
        <w:rPr>
          <w:rFonts w:ascii="Times New Roman" w:eastAsia="Times New Roman" w:hAnsi="Times New Roman" w:cs="Times New Roman"/>
          <w:sz w:val="24"/>
          <w:szCs w:val="24"/>
        </w:rPr>
        <w:t xml:space="preserve"> migratoria, el embarazo, la lengua, las opiniones, las preferencias sexuales, la identidad o </w:t>
      </w:r>
      <w:proofErr w:type="spellStart"/>
      <w:r w:rsidRPr="00BA784D">
        <w:rPr>
          <w:rFonts w:ascii="Times New Roman" w:eastAsia="Times New Roman" w:hAnsi="Times New Roman" w:cs="Times New Roman"/>
          <w:sz w:val="24"/>
          <w:szCs w:val="24"/>
        </w:rPr>
        <w:t>filiación</w:t>
      </w:r>
      <w:proofErr w:type="spellEnd"/>
      <w:r w:rsidRPr="00BA784D">
        <w:rPr>
          <w:rFonts w:ascii="Times New Roman" w:eastAsia="Times New Roman" w:hAnsi="Times New Roman" w:cs="Times New Roman"/>
          <w:sz w:val="24"/>
          <w:szCs w:val="24"/>
        </w:rPr>
        <w:t xml:space="preserve"> </w:t>
      </w:r>
      <w:proofErr w:type="spellStart"/>
      <w:r w:rsidRPr="00BA784D">
        <w:rPr>
          <w:rFonts w:ascii="Times New Roman" w:eastAsia="Times New Roman" w:hAnsi="Times New Roman" w:cs="Times New Roman"/>
          <w:sz w:val="24"/>
          <w:szCs w:val="24"/>
        </w:rPr>
        <w:t>política</w:t>
      </w:r>
      <w:proofErr w:type="spellEnd"/>
      <w:r w:rsidRPr="00BA784D">
        <w:rPr>
          <w:rFonts w:ascii="Times New Roman" w:eastAsia="Times New Roman" w:hAnsi="Times New Roman" w:cs="Times New Roman"/>
          <w:sz w:val="24"/>
          <w:szCs w:val="24"/>
        </w:rPr>
        <w:t xml:space="preserve">, el estado civil, la </w:t>
      </w:r>
      <w:proofErr w:type="spellStart"/>
      <w:r w:rsidRPr="00BA784D">
        <w:rPr>
          <w:rFonts w:ascii="Times New Roman" w:eastAsia="Times New Roman" w:hAnsi="Times New Roman" w:cs="Times New Roman"/>
          <w:sz w:val="24"/>
          <w:szCs w:val="24"/>
        </w:rPr>
        <w:t>situación</w:t>
      </w:r>
      <w:proofErr w:type="spellEnd"/>
      <w:r w:rsidRPr="00BA784D">
        <w:rPr>
          <w:rFonts w:ascii="Times New Roman" w:eastAsia="Times New Roman" w:hAnsi="Times New Roman" w:cs="Times New Roman"/>
          <w:sz w:val="24"/>
          <w:szCs w:val="24"/>
        </w:rPr>
        <w:t xml:space="preserve"> familiar, las responsabilidades familiares, el idioma, los antecedentes penales o cualquier otro motivo;</w:t>
      </w:r>
    </w:p>
    <w:p w14:paraId="75E64AF3" w14:textId="77777777" w:rsidR="00E35B30" w:rsidRPr="00BA784D" w:rsidRDefault="0036612A">
      <w:pPr>
        <w:spacing w:line="360" w:lineRule="auto"/>
        <w:jc w:val="both"/>
        <w:rPr>
          <w:rFonts w:ascii="Times New Roman" w:eastAsia="Times New Roman" w:hAnsi="Times New Roman" w:cs="Times New Roman"/>
          <w:sz w:val="24"/>
          <w:szCs w:val="24"/>
        </w:rPr>
      </w:pPr>
      <w:proofErr w:type="spellStart"/>
      <w:r w:rsidRPr="00BA784D">
        <w:rPr>
          <w:rFonts w:ascii="Times New Roman" w:eastAsia="Times New Roman" w:hAnsi="Times New Roman" w:cs="Times New Roman"/>
          <w:b/>
          <w:sz w:val="24"/>
          <w:szCs w:val="24"/>
        </w:rPr>
        <w:t>Disposición</w:t>
      </w:r>
      <w:proofErr w:type="spellEnd"/>
      <w:r w:rsidRPr="00BA784D">
        <w:rPr>
          <w:rFonts w:ascii="Times New Roman" w:eastAsia="Times New Roman" w:hAnsi="Times New Roman" w:cs="Times New Roman"/>
          <w:b/>
          <w:sz w:val="24"/>
          <w:szCs w:val="24"/>
        </w:rPr>
        <w:t xml:space="preserve"> documental</w:t>
      </w:r>
      <w:r w:rsidRPr="00BA784D">
        <w:rPr>
          <w:rFonts w:ascii="Times New Roman" w:eastAsia="Times New Roman" w:hAnsi="Times New Roman" w:cs="Times New Roman"/>
          <w:sz w:val="24"/>
          <w:szCs w:val="24"/>
        </w:rPr>
        <w:t xml:space="preserve">: La </w:t>
      </w:r>
      <w:proofErr w:type="spellStart"/>
      <w:r w:rsidRPr="00BA784D">
        <w:rPr>
          <w:rFonts w:ascii="Times New Roman" w:eastAsia="Times New Roman" w:hAnsi="Times New Roman" w:cs="Times New Roman"/>
          <w:sz w:val="24"/>
          <w:szCs w:val="24"/>
        </w:rPr>
        <w:t>selección</w:t>
      </w:r>
      <w:proofErr w:type="spellEnd"/>
      <w:r w:rsidRPr="00BA784D">
        <w:rPr>
          <w:rFonts w:ascii="Times New Roman" w:eastAsia="Times New Roman" w:hAnsi="Times New Roman" w:cs="Times New Roman"/>
          <w:sz w:val="24"/>
          <w:szCs w:val="24"/>
        </w:rPr>
        <w:t xml:space="preserve"> </w:t>
      </w:r>
      <w:proofErr w:type="spellStart"/>
      <w:r w:rsidRPr="00BA784D">
        <w:rPr>
          <w:rFonts w:ascii="Times New Roman" w:eastAsia="Times New Roman" w:hAnsi="Times New Roman" w:cs="Times New Roman"/>
          <w:sz w:val="24"/>
          <w:szCs w:val="24"/>
        </w:rPr>
        <w:t>sistemática</w:t>
      </w:r>
      <w:proofErr w:type="spellEnd"/>
      <w:r w:rsidRPr="00BA784D">
        <w:rPr>
          <w:rFonts w:ascii="Times New Roman" w:eastAsia="Times New Roman" w:hAnsi="Times New Roman" w:cs="Times New Roman"/>
          <w:sz w:val="24"/>
          <w:szCs w:val="24"/>
        </w:rPr>
        <w:t xml:space="preserve"> de los expedientes de los archivos de </w:t>
      </w:r>
      <w:proofErr w:type="spellStart"/>
      <w:r w:rsidRPr="00BA784D">
        <w:rPr>
          <w:rFonts w:ascii="Times New Roman" w:eastAsia="Times New Roman" w:hAnsi="Times New Roman" w:cs="Times New Roman"/>
          <w:sz w:val="24"/>
          <w:szCs w:val="24"/>
        </w:rPr>
        <w:t>trámite</w:t>
      </w:r>
      <w:proofErr w:type="spellEnd"/>
      <w:r w:rsidRPr="00BA784D">
        <w:rPr>
          <w:rFonts w:ascii="Times New Roman" w:eastAsia="Times New Roman" w:hAnsi="Times New Roman" w:cs="Times New Roman"/>
          <w:sz w:val="24"/>
          <w:szCs w:val="24"/>
        </w:rPr>
        <w:t xml:space="preserve"> o </w:t>
      </w:r>
      <w:proofErr w:type="spellStart"/>
      <w:r w:rsidRPr="00BA784D">
        <w:rPr>
          <w:rFonts w:ascii="Times New Roman" w:eastAsia="Times New Roman" w:hAnsi="Times New Roman" w:cs="Times New Roman"/>
          <w:sz w:val="24"/>
          <w:szCs w:val="24"/>
        </w:rPr>
        <w:t>concentración</w:t>
      </w:r>
      <w:proofErr w:type="spellEnd"/>
      <w:r w:rsidRPr="00BA784D">
        <w:rPr>
          <w:rFonts w:ascii="Times New Roman" w:eastAsia="Times New Roman" w:hAnsi="Times New Roman" w:cs="Times New Roman"/>
          <w:sz w:val="24"/>
          <w:szCs w:val="24"/>
        </w:rPr>
        <w:t xml:space="preserve"> cuya vigencia documental o uso ha prescrito, con el fin de realizar la baja documental o transferirlos;</w:t>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p>
    <w:p w14:paraId="1ED643B7" w14:textId="77777777" w:rsidR="00E35B30" w:rsidRPr="00BA784D" w:rsidRDefault="0036612A">
      <w:pPr>
        <w:spacing w:before="240" w:after="24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Eje </w:t>
      </w:r>
      <w:proofErr w:type="spellStart"/>
      <w:r w:rsidRPr="00BA784D">
        <w:rPr>
          <w:rFonts w:ascii="Times New Roman" w:eastAsia="Times New Roman" w:hAnsi="Times New Roman" w:cs="Times New Roman"/>
          <w:b/>
          <w:sz w:val="24"/>
          <w:szCs w:val="24"/>
        </w:rPr>
        <w:t>Temático</w:t>
      </w:r>
      <w:proofErr w:type="spellEnd"/>
      <w:r w:rsidRPr="00BA784D">
        <w:rPr>
          <w:rFonts w:ascii="Times New Roman" w:eastAsia="Times New Roman" w:hAnsi="Times New Roman" w:cs="Times New Roman"/>
          <w:sz w:val="24"/>
          <w:szCs w:val="24"/>
        </w:rPr>
        <w:t xml:space="preserve">: El contenido general que sirve de </w:t>
      </w:r>
      <w:proofErr w:type="spellStart"/>
      <w:r w:rsidRPr="00BA784D">
        <w:rPr>
          <w:rFonts w:ascii="Times New Roman" w:eastAsia="Times New Roman" w:hAnsi="Times New Roman" w:cs="Times New Roman"/>
          <w:sz w:val="24"/>
          <w:szCs w:val="24"/>
        </w:rPr>
        <w:t>línea</w:t>
      </w:r>
      <w:proofErr w:type="spellEnd"/>
      <w:r w:rsidRPr="00BA784D">
        <w:rPr>
          <w:rFonts w:ascii="Times New Roman" w:eastAsia="Times New Roman" w:hAnsi="Times New Roman" w:cs="Times New Roman"/>
          <w:sz w:val="24"/>
          <w:szCs w:val="24"/>
        </w:rPr>
        <w:t xml:space="preserve"> vertebral o referencia con respecto al cual se desarrollan asuntos o temas referentes a la transparencia, acceso a la información pública dentro del Programa Nacional, conforme a la Ley General de Transparencia y Acceso a la Información Pública;</w:t>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p>
    <w:p w14:paraId="1CF08BA4" w14:textId="5AEE25F9" w:rsidR="00E35B30" w:rsidRPr="00BA784D" w:rsidRDefault="0036612A">
      <w:pPr>
        <w:spacing w:before="240" w:after="24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Eje Transversal</w:t>
      </w:r>
      <w:r w:rsidRPr="00BA784D">
        <w:rPr>
          <w:rFonts w:ascii="Times New Roman" w:eastAsia="Times New Roman" w:hAnsi="Times New Roman" w:cs="Times New Roman"/>
          <w:sz w:val="24"/>
          <w:szCs w:val="24"/>
        </w:rPr>
        <w:t xml:space="preserve">: El contenido, asuntos o temas referentes a la transparencia, acceso a la información pública, cuyo desarrollo implica la </w:t>
      </w:r>
      <w:proofErr w:type="spellStart"/>
      <w:r w:rsidRPr="00BA784D">
        <w:rPr>
          <w:rFonts w:ascii="Times New Roman" w:eastAsia="Times New Roman" w:hAnsi="Times New Roman" w:cs="Times New Roman"/>
          <w:sz w:val="24"/>
          <w:szCs w:val="24"/>
        </w:rPr>
        <w:t>interacción</w:t>
      </w:r>
      <w:proofErr w:type="spellEnd"/>
      <w:r w:rsidRPr="00BA784D">
        <w:rPr>
          <w:rFonts w:ascii="Times New Roman" w:eastAsia="Times New Roman" w:hAnsi="Times New Roman" w:cs="Times New Roman"/>
          <w:sz w:val="24"/>
          <w:szCs w:val="24"/>
        </w:rPr>
        <w:t xml:space="preserve"> o </w:t>
      </w:r>
      <w:proofErr w:type="spellStart"/>
      <w:r w:rsidRPr="00BA784D">
        <w:rPr>
          <w:rFonts w:ascii="Times New Roman" w:eastAsia="Times New Roman" w:hAnsi="Times New Roman" w:cs="Times New Roman"/>
          <w:sz w:val="24"/>
          <w:szCs w:val="24"/>
        </w:rPr>
        <w:t>conexión</w:t>
      </w:r>
      <w:proofErr w:type="spellEnd"/>
      <w:r w:rsidRPr="00BA784D">
        <w:rPr>
          <w:rFonts w:ascii="Times New Roman" w:eastAsia="Times New Roman" w:hAnsi="Times New Roman" w:cs="Times New Roman"/>
          <w:sz w:val="24"/>
          <w:szCs w:val="24"/>
        </w:rPr>
        <w:t xml:space="preserve"> con </w:t>
      </w:r>
      <w:proofErr w:type="spellStart"/>
      <w:r w:rsidRPr="00BA784D">
        <w:rPr>
          <w:rFonts w:ascii="Times New Roman" w:eastAsia="Times New Roman" w:hAnsi="Times New Roman" w:cs="Times New Roman"/>
          <w:sz w:val="24"/>
          <w:szCs w:val="24"/>
        </w:rPr>
        <w:t>más</w:t>
      </w:r>
      <w:proofErr w:type="spellEnd"/>
      <w:r w:rsidRPr="00BA784D">
        <w:rPr>
          <w:rFonts w:ascii="Times New Roman" w:eastAsia="Times New Roman" w:hAnsi="Times New Roman" w:cs="Times New Roman"/>
          <w:sz w:val="24"/>
          <w:szCs w:val="24"/>
        </w:rPr>
        <w:t xml:space="preserve"> de un eje </w:t>
      </w:r>
      <w:proofErr w:type="spellStart"/>
      <w:r w:rsidRPr="00BA784D">
        <w:rPr>
          <w:rFonts w:ascii="Times New Roman" w:eastAsia="Times New Roman" w:hAnsi="Times New Roman" w:cs="Times New Roman"/>
          <w:sz w:val="24"/>
          <w:szCs w:val="24"/>
        </w:rPr>
        <w:t>temático</w:t>
      </w:r>
      <w:proofErr w:type="spellEnd"/>
      <w:r w:rsidRPr="00BA784D">
        <w:rPr>
          <w:rFonts w:ascii="Times New Roman" w:eastAsia="Times New Roman" w:hAnsi="Times New Roman" w:cs="Times New Roman"/>
          <w:sz w:val="24"/>
          <w:szCs w:val="24"/>
        </w:rPr>
        <w:t xml:space="preserve"> o cuya </w:t>
      </w:r>
      <w:proofErr w:type="spellStart"/>
      <w:r w:rsidRPr="00BA784D">
        <w:rPr>
          <w:rFonts w:ascii="Times New Roman" w:eastAsia="Times New Roman" w:hAnsi="Times New Roman" w:cs="Times New Roman"/>
          <w:sz w:val="24"/>
          <w:szCs w:val="24"/>
        </w:rPr>
        <w:t>consecución</w:t>
      </w:r>
      <w:proofErr w:type="spellEnd"/>
      <w:r w:rsidRPr="00BA784D">
        <w:rPr>
          <w:rFonts w:ascii="Times New Roman" w:eastAsia="Times New Roman" w:hAnsi="Times New Roman" w:cs="Times New Roman"/>
          <w:sz w:val="24"/>
          <w:szCs w:val="24"/>
        </w:rPr>
        <w:t xml:space="preserve"> implica la suma de productos y servicios de divers</w:t>
      </w:r>
      <w:r w:rsidR="009D5405"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9D5405"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integrantes del SNT;</w:t>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p>
    <w:p w14:paraId="5329C2FB" w14:textId="77777777" w:rsidR="00E35B30" w:rsidRPr="00BA784D" w:rsidRDefault="0036612A">
      <w:pPr>
        <w:spacing w:before="240" w:after="24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Entidades federativas</w:t>
      </w:r>
      <w:r w:rsidRPr="00BA784D">
        <w:rPr>
          <w:rFonts w:ascii="Times New Roman" w:eastAsia="Times New Roman" w:hAnsi="Times New Roman" w:cs="Times New Roman"/>
          <w:sz w:val="24"/>
          <w:szCs w:val="24"/>
        </w:rPr>
        <w:t xml:space="preserve">: Son las partes integrantes de la </w:t>
      </w:r>
      <w:proofErr w:type="spellStart"/>
      <w:r w:rsidRPr="00BA784D">
        <w:rPr>
          <w:rFonts w:ascii="Times New Roman" w:eastAsia="Times New Roman" w:hAnsi="Times New Roman" w:cs="Times New Roman"/>
          <w:sz w:val="24"/>
          <w:szCs w:val="24"/>
        </w:rPr>
        <w:t>Federación</w:t>
      </w:r>
      <w:proofErr w:type="spellEnd"/>
      <w:r w:rsidRPr="00BA784D">
        <w:rPr>
          <w:rFonts w:ascii="Times New Roman" w:eastAsia="Times New Roman" w:hAnsi="Times New Roman" w:cs="Times New Roman"/>
          <w:sz w:val="24"/>
          <w:szCs w:val="24"/>
        </w:rPr>
        <w:t xml:space="preserve">, es decir, los Estados de Aguascalientes, Baja California, Baja California Sur, Campeche, Coahuila, Colima, Chiapas, </w:t>
      </w:r>
      <w:r w:rsidRPr="00BA784D">
        <w:rPr>
          <w:rFonts w:ascii="Times New Roman" w:eastAsia="Times New Roman" w:hAnsi="Times New Roman" w:cs="Times New Roman"/>
          <w:sz w:val="24"/>
          <w:szCs w:val="24"/>
        </w:rPr>
        <w:lastRenderedPageBreak/>
        <w:t xml:space="preserve">Chihuahua, Durango, Guanajuato, Guerrero, Hidalgo, Jalisco, </w:t>
      </w:r>
      <w:proofErr w:type="spellStart"/>
      <w:r w:rsidRPr="00BA784D">
        <w:rPr>
          <w:rFonts w:ascii="Times New Roman" w:eastAsia="Times New Roman" w:hAnsi="Times New Roman" w:cs="Times New Roman"/>
          <w:sz w:val="24"/>
          <w:szCs w:val="24"/>
        </w:rPr>
        <w:t>México</w:t>
      </w:r>
      <w:proofErr w:type="spellEnd"/>
      <w:r w:rsidRPr="00BA784D">
        <w:rPr>
          <w:rFonts w:ascii="Times New Roman" w:eastAsia="Times New Roman" w:hAnsi="Times New Roman" w:cs="Times New Roman"/>
          <w:sz w:val="24"/>
          <w:szCs w:val="24"/>
        </w:rPr>
        <w:t xml:space="preserve">, </w:t>
      </w:r>
      <w:proofErr w:type="spellStart"/>
      <w:r w:rsidRPr="00BA784D">
        <w:rPr>
          <w:rFonts w:ascii="Times New Roman" w:eastAsia="Times New Roman" w:hAnsi="Times New Roman" w:cs="Times New Roman"/>
          <w:sz w:val="24"/>
          <w:szCs w:val="24"/>
        </w:rPr>
        <w:t>Michoacán</w:t>
      </w:r>
      <w:proofErr w:type="spellEnd"/>
      <w:r w:rsidRPr="00BA784D">
        <w:rPr>
          <w:rFonts w:ascii="Times New Roman" w:eastAsia="Times New Roman" w:hAnsi="Times New Roman" w:cs="Times New Roman"/>
          <w:sz w:val="24"/>
          <w:szCs w:val="24"/>
        </w:rPr>
        <w:t xml:space="preserve">, Morelos, Nayarit, Nuevo </w:t>
      </w:r>
      <w:proofErr w:type="spellStart"/>
      <w:r w:rsidRPr="00BA784D">
        <w:rPr>
          <w:rFonts w:ascii="Times New Roman" w:eastAsia="Times New Roman" w:hAnsi="Times New Roman" w:cs="Times New Roman"/>
          <w:sz w:val="24"/>
          <w:szCs w:val="24"/>
        </w:rPr>
        <w:t>León</w:t>
      </w:r>
      <w:proofErr w:type="spellEnd"/>
      <w:r w:rsidRPr="00BA784D">
        <w:rPr>
          <w:rFonts w:ascii="Times New Roman" w:eastAsia="Times New Roman" w:hAnsi="Times New Roman" w:cs="Times New Roman"/>
          <w:sz w:val="24"/>
          <w:szCs w:val="24"/>
        </w:rPr>
        <w:t xml:space="preserve">, Oaxaca, Puebla, </w:t>
      </w:r>
      <w:proofErr w:type="spellStart"/>
      <w:r w:rsidRPr="00BA784D">
        <w:rPr>
          <w:rFonts w:ascii="Times New Roman" w:eastAsia="Times New Roman" w:hAnsi="Times New Roman" w:cs="Times New Roman"/>
          <w:sz w:val="24"/>
          <w:szCs w:val="24"/>
        </w:rPr>
        <w:t>Querétaro</w:t>
      </w:r>
      <w:proofErr w:type="spellEnd"/>
      <w:r w:rsidRPr="00BA784D">
        <w:rPr>
          <w:rFonts w:ascii="Times New Roman" w:eastAsia="Times New Roman" w:hAnsi="Times New Roman" w:cs="Times New Roman"/>
          <w:sz w:val="24"/>
          <w:szCs w:val="24"/>
        </w:rPr>
        <w:t xml:space="preserve">, Quintana Roo, San Luis </w:t>
      </w:r>
      <w:proofErr w:type="spellStart"/>
      <w:r w:rsidRPr="00BA784D">
        <w:rPr>
          <w:rFonts w:ascii="Times New Roman" w:eastAsia="Times New Roman" w:hAnsi="Times New Roman" w:cs="Times New Roman"/>
          <w:sz w:val="24"/>
          <w:szCs w:val="24"/>
        </w:rPr>
        <w:t>Potosi</w:t>
      </w:r>
      <w:proofErr w:type="spellEnd"/>
      <w:r w:rsidRPr="00BA784D">
        <w:rPr>
          <w:rFonts w:ascii="Times New Roman" w:eastAsia="Times New Roman" w:hAnsi="Times New Roman" w:cs="Times New Roman"/>
          <w:sz w:val="24"/>
          <w:szCs w:val="24"/>
        </w:rPr>
        <w:t xml:space="preserve">́, Sinaloa, Sonora, Tabasco, Tamaulipas, Tlaxcala, Veracruz, </w:t>
      </w:r>
      <w:proofErr w:type="spellStart"/>
      <w:r w:rsidRPr="00BA784D">
        <w:rPr>
          <w:rFonts w:ascii="Times New Roman" w:eastAsia="Times New Roman" w:hAnsi="Times New Roman" w:cs="Times New Roman"/>
          <w:sz w:val="24"/>
          <w:szCs w:val="24"/>
        </w:rPr>
        <w:t>Yucatán</w:t>
      </w:r>
      <w:proofErr w:type="spellEnd"/>
      <w:r w:rsidRPr="00BA784D">
        <w:rPr>
          <w:rFonts w:ascii="Times New Roman" w:eastAsia="Times New Roman" w:hAnsi="Times New Roman" w:cs="Times New Roman"/>
          <w:sz w:val="24"/>
          <w:szCs w:val="24"/>
        </w:rPr>
        <w:t xml:space="preserve">, Zacatecas y la Ciudad de </w:t>
      </w:r>
      <w:proofErr w:type="spellStart"/>
      <w:r w:rsidRPr="00BA784D">
        <w:rPr>
          <w:rFonts w:ascii="Times New Roman" w:eastAsia="Times New Roman" w:hAnsi="Times New Roman" w:cs="Times New Roman"/>
          <w:sz w:val="24"/>
          <w:szCs w:val="24"/>
        </w:rPr>
        <w:t>México</w:t>
      </w:r>
      <w:proofErr w:type="spellEnd"/>
      <w:r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p>
    <w:p w14:paraId="0429FE10" w14:textId="77777777" w:rsidR="00E35B30" w:rsidRPr="00BA784D" w:rsidRDefault="0036612A">
      <w:pPr>
        <w:spacing w:before="240" w:after="24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Estrategia</w:t>
      </w:r>
      <w:r w:rsidRPr="00BA784D">
        <w:rPr>
          <w:rFonts w:ascii="Times New Roman" w:eastAsia="Times New Roman" w:hAnsi="Times New Roman" w:cs="Times New Roman"/>
          <w:sz w:val="24"/>
          <w:szCs w:val="24"/>
        </w:rPr>
        <w:t xml:space="preserve">: El conjunto de acciones interrelacionadas para la </w:t>
      </w:r>
      <w:proofErr w:type="spellStart"/>
      <w:r w:rsidRPr="00BA784D">
        <w:rPr>
          <w:rFonts w:ascii="Times New Roman" w:eastAsia="Times New Roman" w:hAnsi="Times New Roman" w:cs="Times New Roman"/>
          <w:sz w:val="24"/>
          <w:szCs w:val="24"/>
        </w:rPr>
        <w:t>atención</w:t>
      </w:r>
      <w:proofErr w:type="spellEnd"/>
      <w:r w:rsidRPr="00BA784D">
        <w:rPr>
          <w:rFonts w:ascii="Times New Roman" w:eastAsia="Times New Roman" w:hAnsi="Times New Roman" w:cs="Times New Roman"/>
          <w:sz w:val="24"/>
          <w:szCs w:val="24"/>
        </w:rPr>
        <w:t xml:space="preserve"> de una </w:t>
      </w:r>
      <w:proofErr w:type="spellStart"/>
      <w:r w:rsidRPr="00BA784D">
        <w:rPr>
          <w:rFonts w:ascii="Times New Roman" w:eastAsia="Times New Roman" w:hAnsi="Times New Roman" w:cs="Times New Roman"/>
          <w:sz w:val="24"/>
          <w:szCs w:val="24"/>
        </w:rPr>
        <w:t>problemática</w:t>
      </w:r>
      <w:proofErr w:type="spellEnd"/>
      <w:r w:rsidRPr="00BA784D">
        <w:rPr>
          <w:rFonts w:ascii="Times New Roman" w:eastAsia="Times New Roman" w:hAnsi="Times New Roman" w:cs="Times New Roman"/>
          <w:sz w:val="24"/>
          <w:szCs w:val="24"/>
        </w:rPr>
        <w:t xml:space="preserve"> que asegura un resultado;</w:t>
      </w:r>
    </w:p>
    <w:p w14:paraId="5A046E59" w14:textId="4D2FE60A" w:rsidR="00E35B30" w:rsidRPr="00BA784D" w:rsidRDefault="0036612A">
      <w:pPr>
        <w:spacing w:line="360" w:lineRule="auto"/>
        <w:jc w:val="both"/>
        <w:rPr>
          <w:rFonts w:ascii="Times New Roman" w:eastAsia="Times New Roman" w:hAnsi="Times New Roman" w:cs="Times New Roman"/>
          <w:sz w:val="24"/>
          <w:szCs w:val="24"/>
        </w:rPr>
      </w:pPr>
      <w:proofErr w:type="spellStart"/>
      <w:r w:rsidRPr="00BA784D">
        <w:rPr>
          <w:rFonts w:ascii="Times New Roman" w:eastAsia="Times New Roman" w:hAnsi="Times New Roman" w:cs="Times New Roman"/>
          <w:b/>
          <w:sz w:val="24"/>
          <w:szCs w:val="24"/>
        </w:rPr>
        <w:t>Gestión</w:t>
      </w:r>
      <w:proofErr w:type="spellEnd"/>
      <w:r w:rsidRPr="00BA784D">
        <w:rPr>
          <w:rFonts w:ascii="Times New Roman" w:eastAsia="Times New Roman" w:hAnsi="Times New Roman" w:cs="Times New Roman"/>
          <w:b/>
          <w:sz w:val="24"/>
          <w:szCs w:val="24"/>
        </w:rPr>
        <w:t xml:space="preserve"> documental</w:t>
      </w:r>
      <w:r w:rsidRPr="00BA784D">
        <w:rPr>
          <w:rFonts w:ascii="Times New Roman" w:eastAsia="Times New Roman" w:hAnsi="Times New Roman" w:cs="Times New Roman"/>
          <w:sz w:val="24"/>
          <w:szCs w:val="24"/>
        </w:rPr>
        <w:t xml:space="preserve">: El tratamiento integral de la </w:t>
      </w:r>
      <w:proofErr w:type="spellStart"/>
      <w:r w:rsidRPr="00BA784D">
        <w:rPr>
          <w:rFonts w:ascii="Times New Roman" w:eastAsia="Times New Roman" w:hAnsi="Times New Roman" w:cs="Times New Roman"/>
          <w:sz w:val="24"/>
          <w:szCs w:val="24"/>
        </w:rPr>
        <w:t>documentación</w:t>
      </w:r>
      <w:proofErr w:type="spellEnd"/>
      <w:r w:rsidRPr="00BA784D">
        <w:rPr>
          <w:rFonts w:ascii="Times New Roman" w:eastAsia="Times New Roman" w:hAnsi="Times New Roman" w:cs="Times New Roman"/>
          <w:sz w:val="24"/>
          <w:szCs w:val="24"/>
        </w:rPr>
        <w:t xml:space="preserve"> a lo largo de su ciclo vital, a </w:t>
      </w:r>
      <w:proofErr w:type="spellStart"/>
      <w:r w:rsidRPr="00BA784D">
        <w:rPr>
          <w:rFonts w:ascii="Times New Roman" w:eastAsia="Times New Roman" w:hAnsi="Times New Roman" w:cs="Times New Roman"/>
          <w:sz w:val="24"/>
          <w:szCs w:val="24"/>
        </w:rPr>
        <w:t>través</w:t>
      </w:r>
      <w:proofErr w:type="spellEnd"/>
      <w:r w:rsidRPr="00BA784D">
        <w:rPr>
          <w:rFonts w:ascii="Times New Roman" w:eastAsia="Times New Roman" w:hAnsi="Times New Roman" w:cs="Times New Roman"/>
          <w:sz w:val="24"/>
          <w:szCs w:val="24"/>
        </w:rPr>
        <w:t xml:space="preserve"> de la </w:t>
      </w:r>
      <w:proofErr w:type="spellStart"/>
      <w:r w:rsidRPr="00BA784D">
        <w:rPr>
          <w:rFonts w:ascii="Times New Roman" w:eastAsia="Times New Roman" w:hAnsi="Times New Roman" w:cs="Times New Roman"/>
          <w:sz w:val="24"/>
          <w:szCs w:val="24"/>
        </w:rPr>
        <w:t>ejecución</w:t>
      </w:r>
      <w:proofErr w:type="spellEnd"/>
      <w:r w:rsidRPr="00BA784D">
        <w:rPr>
          <w:rFonts w:ascii="Times New Roman" w:eastAsia="Times New Roman" w:hAnsi="Times New Roman" w:cs="Times New Roman"/>
          <w:sz w:val="24"/>
          <w:szCs w:val="24"/>
        </w:rPr>
        <w:t xml:space="preserve"> de procesos de </w:t>
      </w:r>
      <w:proofErr w:type="spellStart"/>
      <w:r w:rsidRPr="00BA784D">
        <w:rPr>
          <w:rFonts w:ascii="Times New Roman" w:eastAsia="Times New Roman" w:hAnsi="Times New Roman" w:cs="Times New Roman"/>
          <w:sz w:val="24"/>
          <w:szCs w:val="24"/>
        </w:rPr>
        <w:t>recepción</w:t>
      </w:r>
      <w:proofErr w:type="spellEnd"/>
      <w:r w:rsidRPr="00BA784D">
        <w:rPr>
          <w:rFonts w:ascii="Times New Roman" w:eastAsia="Times New Roman" w:hAnsi="Times New Roman" w:cs="Times New Roman"/>
          <w:sz w:val="24"/>
          <w:szCs w:val="24"/>
        </w:rPr>
        <w:t xml:space="preserve">, </w:t>
      </w:r>
      <w:proofErr w:type="spellStart"/>
      <w:r w:rsidRPr="00BA784D">
        <w:rPr>
          <w:rFonts w:ascii="Times New Roman" w:eastAsia="Times New Roman" w:hAnsi="Times New Roman" w:cs="Times New Roman"/>
          <w:sz w:val="24"/>
          <w:szCs w:val="24"/>
        </w:rPr>
        <w:t>producción</w:t>
      </w:r>
      <w:proofErr w:type="spellEnd"/>
      <w:r w:rsidRPr="00BA784D">
        <w:rPr>
          <w:rFonts w:ascii="Times New Roman" w:eastAsia="Times New Roman" w:hAnsi="Times New Roman" w:cs="Times New Roman"/>
          <w:sz w:val="24"/>
          <w:szCs w:val="24"/>
        </w:rPr>
        <w:t xml:space="preserve">, </w:t>
      </w:r>
      <w:proofErr w:type="spellStart"/>
      <w:r w:rsidRPr="00BA784D">
        <w:rPr>
          <w:rFonts w:ascii="Times New Roman" w:eastAsia="Times New Roman" w:hAnsi="Times New Roman" w:cs="Times New Roman"/>
          <w:sz w:val="24"/>
          <w:szCs w:val="24"/>
        </w:rPr>
        <w:t>organización</w:t>
      </w:r>
      <w:proofErr w:type="spellEnd"/>
      <w:r w:rsidRPr="00BA784D">
        <w:rPr>
          <w:rFonts w:ascii="Times New Roman" w:eastAsia="Times New Roman" w:hAnsi="Times New Roman" w:cs="Times New Roman"/>
          <w:sz w:val="24"/>
          <w:szCs w:val="24"/>
        </w:rPr>
        <w:t>, acceso y consulta, conservación, valoración y disposición documental;</w:t>
      </w:r>
    </w:p>
    <w:p w14:paraId="6F820699" w14:textId="6A441736" w:rsidR="007476A7" w:rsidRPr="00BA784D" w:rsidRDefault="007476A7">
      <w:pPr>
        <w:spacing w:line="360" w:lineRule="auto"/>
        <w:jc w:val="both"/>
        <w:rPr>
          <w:rFonts w:ascii="Times New Roman" w:eastAsia="Times New Roman" w:hAnsi="Times New Roman" w:cs="Times New Roman"/>
          <w:sz w:val="24"/>
          <w:szCs w:val="24"/>
        </w:rPr>
      </w:pPr>
    </w:p>
    <w:p w14:paraId="1C9C333B" w14:textId="77777777" w:rsidR="00F56323" w:rsidRPr="00BA784D" w:rsidRDefault="007476A7">
      <w:pPr>
        <w:spacing w:before="200" w:line="360" w:lineRule="auto"/>
        <w:ind w:right="123"/>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Gobierno Digital:</w:t>
      </w:r>
      <w:r w:rsidRPr="00BA784D">
        <w:rPr>
          <w:rFonts w:ascii="Times New Roman" w:eastAsia="Times New Roman" w:hAnsi="Times New Roman" w:cs="Times New Roman"/>
          <w:sz w:val="24"/>
          <w:szCs w:val="24"/>
        </w:rPr>
        <w:t xml:space="preserve"> Todas aquellas actividades basadas en las modernas tecnologías de la información y comunicación (</w:t>
      </w:r>
      <w:proofErr w:type="spellStart"/>
      <w:r w:rsidRPr="00BA784D">
        <w:rPr>
          <w:rFonts w:ascii="Times New Roman" w:eastAsia="Times New Roman" w:hAnsi="Times New Roman" w:cs="Times New Roman"/>
          <w:sz w:val="24"/>
          <w:szCs w:val="24"/>
        </w:rPr>
        <w:t>TIC’s</w:t>
      </w:r>
      <w:proofErr w:type="spellEnd"/>
      <w:r w:rsidRPr="00BA784D">
        <w:rPr>
          <w:rFonts w:ascii="Times New Roman" w:eastAsia="Times New Roman" w:hAnsi="Times New Roman" w:cs="Times New Roman"/>
          <w:sz w:val="24"/>
          <w:szCs w:val="24"/>
        </w:rPr>
        <w:t>), que el Estado desarrolla para aumentar la eficiencia de la gestión pública, mejorar los servicios ofrecidos a los ciudadanos y proveer a las acciones de gobierno de un marco mucho más transparente que el actual</w:t>
      </w:r>
      <w:r w:rsidR="008B209A" w:rsidRPr="00BA784D">
        <w:rPr>
          <w:rFonts w:ascii="Times New Roman" w:eastAsia="Times New Roman" w:hAnsi="Times New Roman" w:cs="Times New Roman"/>
          <w:sz w:val="24"/>
          <w:szCs w:val="24"/>
        </w:rPr>
        <w:t>;</w:t>
      </w:r>
      <w:r w:rsidR="00F14CA3" w:rsidRPr="00BA784D">
        <w:rPr>
          <w:rFonts w:ascii="Times New Roman" w:eastAsia="Times New Roman" w:hAnsi="Times New Roman" w:cs="Times New Roman"/>
          <w:sz w:val="24"/>
          <w:szCs w:val="24"/>
        </w:rPr>
        <w:t xml:space="preserve"> </w:t>
      </w:r>
    </w:p>
    <w:p w14:paraId="770A318F" w14:textId="7C3C8D1F" w:rsidR="00E35B30" w:rsidRPr="00BA784D" w:rsidRDefault="0036612A">
      <w:pPr>
        <w:spacing w:before="200" w:line="360" w:lineRule="auto"/>
        <w:ind w:right="123"/>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INAI: </w:t>
      </w:r>
      <w:r w:rsidRPr="00BA784D">
        <w:rPr>
          <w:rFonts w:ascii="Times New Roman" w:eastAsia="Times New Roman" w:hAnsi="Times New Roman" w:cs="Times New Roman"/>
          <w:sz w:val="24"/>
          <w:szCs w:val="24"/>
        </w:rPr>
        <w:t>Instituto Nacional de Transparencia, Acceso a la Información y Protección de Datos Personales</w:t>
      </w:r>
      <w:r w:rsidR="008B209A" w:rsidRPr="00BA784D">
        <w:rPr>
          <w:rFonts w:ascii="Times New Roman" w:eastAsia="Times New Roman" w:hAnsi="Times New Roman" w:cs="Times New Roman"/>
          <w:sz w:val="24"/>
          <w:szCs w:val="24"/>
        </w:rPr>
        <w:t>;</w:t>
      </w:r>
    </w:p>
    <w:p w14:paraId="5D1C23FF" w14:textId="77777777" w:rsidR="00E35B30" w:rsidRPr="00BA784D" w:rsidRDefault="0036612A">
      <w:pPr>
        <w:spacing w:before="240" w:after="24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Indicador</w:t>
      </w:r>
      <w:r w:rsidRPr="00BA784D">
        <w:rPr>
          <w:rFonts w:ascii="Times New Roman" w:eastAsia="Times New Roman" w:hAnsi="Times New Roman" w:cs="Times New Roman"/>
          <w:sz w:val="24"/>
          <w:szCs w:val="24"/>
        </w:rPr>
        <w:t>: La variable o factor que proporciona un medio sencillo y fiable para medir logros, cambios o ayudar a evaluar resultados;</w:t>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p>
    <w:p w14:paraId="1B9DE0F4" w14:textId="77777777" w:rsidR="00E35B30" w:rsidRPr="00BA784D" w:rsidRDefault="0036612A">
      <w:pPr>
        <w:spacing w:before="240" w:after="24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Indicador de resultados</w:t>
      </w:r>
      <w:r w:rsidRPr="00BA784D">
        <w:rPr>
          <w:rFonts w:ascii="Times New Roman" w:eastAsia="Times New Roman" w:hAnsi="Times New Roman" w:cs="Times New Roman"/>
          <w:sz w:val="24"/>
          <w:szCs w:val="24"/>
        </w:rPr>
        <w:t>: La variable o factor que permite verificar los cambios en el estado de los beneficiarios de las acciones a las que se asocia;</w:t>
      </w:r>
    </w:p>
    <w:p w14:paraId="12CBB906"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Indicador de impacto</w:t>
      </w:r>
      <w:r w:rsidRPr="00BA784D">
        <w:rPr>
          <w:rFonts w:ascii="Times New Roman" w:eastAsia="Times New Roman" w:hAnsi="Times New Roman" w:cs="Times New Roman"/>
          <w:sz w:val="24"/>
          <w:szCs w:val="24"/>
        </w:rPr>
        <w:t>: Expresiones cuantitativas y cualitativas de mediano y largo plazo que buscan servir como un marco de referencia para advertir y dar cuenta de los cambios sociales a los que contribuyen las acciones;</w:t>
      </w:r>
    </w:p>
    <w:p w14:paraId="2C85E07D" w14:textId="2F66223F" w:rsidR="00E35B30" w:rsidRPr="00BA784D" w:rsidRDefault="0036612A">
      <w:pPr>
        <w:spacing w:before="280" w:line="360" w:lineRule="auto"/>
        <w:ind w:right="12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INEGI: </w:t>
      </w:r>
      <w:r w:rsidRPr="00BA784D">
        <w:rPr>
          <w:rFonts w:ascii="Times New Roman" w:eastAsia="Times New Roman" w:hAnsi="Times New Roman" w:cs="Times New Roman"/>
          <w:sz w:val="24"/>
          <w:szCs w:val="24"/>
        </w:rPr>
        <w:t>Instituto Nacional de Estadística y Geografía</w:t>
      </w:r>
      <w:r w:rsidR="008B209A"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 xml:space="preserve"> </w:t>
      </w:r>
    </w:p>
    <w:p w14:paraId="2701F5ED" w14:textId="77777777" w:rsidR="00E35B30" w:rsidRPr="00BA784D" w:rsidRDefault="0036612A">
      <w:pPr>
        <w:spacing w:before="280" w:line="360" w:lineRule="auto"/>
        <w:ind w:right="12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Información de interés público</w:t>
      </w:r>
      <w:r w:rsidRPr="00BA784D">
        <w:rPr>
          <w:rFonts w:ascii="Times New Roman" w:eastAsia="Times New Roman" w:hAnsi="Times New Roman" w:cs="Times New Roman"/>
          <w:sz w:val="24"/>
          <w:szCs w:val="24"/>
        </w:rPr>
        <w:t xml:space="preserve">: Se refiere a la información que resulta relevante o beneficiosa para la sociedad y no simplemente de </w:t>
      </w:r>
      <w:proofErr w:type="spellStart"/>
      <w:r w:rsidRPr="00BA784D">
        <w:rPr>
          <w:rFonts w:ascii="Times New Roman" w:eastAsia="Times New Roman" w:hAnsi="Times New Roman" w:cs="Times New Roman"/>
          <w:sz w:val="24"/>
          <w:szCs w:val="24"/>
        </w:rPr>
        <w:t>interés</w:t>
      </w:r>
      <w:proofErr w:type="spellEnd"/>
      <w:r w:rsidRPr="00BA784D">
        <w:rPr>
          <w:rFonts w:ascii="Times New Roman" w:eastAsia="Times New Roman" w:hAnsi="Times New Roman" w:cs="Times New Roman"/>
          <w:sz w:val="24"/>
          <w:szCs w:val="24"/>
        </w:rPr>
        <w:t xml:space="preserve"> individual, cuya </w:t>
      </w:r>
      <w:proofErr w:type="spellStart"/>
      <w:r w:rsidRPr="00BA784D">
        <w:rPr>
          <w:rFonts w:ascii="Times New Roman" w:eastAsia="Times New Roman" w:hAnsi="Times New Roman" w:cs="Times New Roman"/>
          <w:sz w:val="24"/>
          <w:szCs w:val="24"/>
        </w:rPr>
        <w:t>divulgación</w:t>
      </w:r>
      <w:proofErr w:type="spellEnd"/>
      <w:r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sz w:val="24"/>
          <w:szCs w:val="24"/>
        </w:rPr>
        <w:lastRenderedPageBreak/>
        <w:t xml:space="preserve">resulta </w:t>
      </w:r>
      <w:proofErr w:type="spellStart"/>
      <w:r w:rsidRPr="00BA784D">
        <w:rPr>
          <w:rFonts w:ascii="Times New Roman" w:eastAsia="Times New Roman" w:hAnsi="Times New Roman" w:cs="Times New Roman"/>
          <w:sz w:val="24"/>
          <w:szCs w:val="24"/>
        </w:rPr>
        <w:t>útil</w:t>
      </w:r>
      <w:proofErr w:type="spellEnd"/>
      <w:r w:rsidRPr="00BA784D">
        <w:rPr>
          <w:rFonts w:ascii="Times New Roman" w:eastAsia="Times New Roman" w:hAnsi="Times New Roman" w:cs="Times New Roman"/>
          <w:sz w:val="24"/>
          <w:szCs w:val="24"/>
        </w:rPr>
        <w:t xml:space="preserve"> para que el </w:t>
      </w:r>
      <w:proofErr w:type="spellStart"/>
      <w:r w:rsidRPr="00BA784D">
        <w:rPr>
          <w:rFonts w:ascii="Times New Roman" w:eastAsia="Times New Roman" w:hAnsi="Times New Roman" w:cs="Times New Roman"/>
          <w:sz w:val="24"/>
          <w:szCs w:val="24"/>
        </w:rPr>
        <w:t>público</w:t>
      </w:r>
      <w:proofErr w:type="spellEnd"/>
      <w:r w:rsidRPr="00BA784D">
        <w:rPr>
          <w:rFonts w:ascii="Times New Roman" w:eastAsia="Times New Roman" w:hAnsi="Times New Roman" w:cs="Times New Roman"/>
          <w:sz w:val="24"/>
          <w:szCs w:val="24"/>
        </w:rPr>
        <w:t xml:space="preserve"> comprenda las actividades que llevan a cabo los sujetos obligados;</w:t>
      </w:r>
    </w:p>
    <w:p w14:paraId="1802D9AF" w14:textId="77777777" w:rsidR="008623DB" w:rsidRPr="00BA784D" w:rsidRDefault="008623DB" w:rsidP="008623DB">
      <w:pPr>
        <w:spacing w:line="360" w:lineRule="auto"/>
        <w:jc w:val="both"/>
        <w:rPr>
          <w:rFonts w:ascii="Times New Roman" w:eastAsia="Times New Roman" w:hAnsi="Times New Roman" w:cs="Times New Roman"/>
          <w:sz w:val="24"/>
          <w:szCs w:val="24"/>
        </w:rPr>
      </w:pPr>
    </w:p>
    <w:p w14:paraId="70766B6A" w14:textId="00299C93" w:rsidR="008623DB" w:rsidRPr="00BA784D" w:rsidRDefault="008623DB" w:rsidP="008623DB">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I</w:t>
      </w:r>
      <w:r w:rsidR="000C56F7" w:rsidRPr="00BA784D">
        <w:rPr>
          <w:rFonts w:ascii="Times New Roman" w:eastAsia="Times New Roman" w:hAnsi="Times New Roman" w:cs="Times New Roman"/>
          <w:b/>
          <w:sz w:val="24"/>
          <w:szCs w:val="24"/>
        </w:rPr>
        <w:t>nstituciones I</w:t>
      </w:r>
      <w:r w:rsidRPr="00BA784D">
        <w:rPr>
          <w:rFonts w:ascii="Times New Roman" w:eastAsia="Times New Roman" w:hAnsi="Times New Roman" w:cs="Times New Roman"/>
          <w:b/>
          <w:sz w:val="24"/>
          <w:szCs w:val="24"/>
        </w:rPr>
        <w:t>ntegrantes del Sistema Nacional de Transparencia:</w:t>
      </w:r>
      <w:r w:rsidRPr="00BA784D">
        <w:rPr>
          <w:rFonts w:ascii="Times New Roman" w:eastAsia="Times New Roman" w:hAnsi="Times New Roman" w:cs="Times New Roman"/>
          <w:sz w:val="24"/>
          <w:szCs w:val="24"/>
        </w:rPr>
        <w:t xml:space="preserve"> El Art. 30 de la LGTAIP, establece que son parte integrante del Sistema Nacional:</w:t>
      </w:r>
    </w:p>
    <w:p w14:paraId="0A03C7DC" w14:textId="1B117B8D" w:rsidR="008623DB" w:rsidRPr="00BA784D" w:rsidRDefault="008623DB" w:rsidP="00182DB9">
      <w:pPr>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I. El Instituto Nacional de Transparencia, Acceso a la Información y Protección de Datos Personales;</w:t>
      </w:r>
    </w:p>
    <w:p w14:paraId="4E16EA42" w14:textId="65894788" w:rsidR="008623DB" w:rsidRPr="00BA784D" w:rsidRDefault="008623DB" w:rsidP="00182DB9">
      <w:pPr>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II. Los Organismos </w:t>
      </w:r>
      <w:r w:rsidR="008B209A" w:rsidRPr="00BA784D">
        <w:rPr>
          <w:rFonts w:ascii="Times New Roman" w:eastAsia="Times New Roman" w:hAnsi="Times New Roman" w:cs="Times New Roman"/>
          <w:sz w:val="24"/>
          <w:szCs w:val="24"/>
        </w:rPr>
        <w:t>G</w:t>
      </w:r>
      <w:r w:rsidRPr="00BA784D">
        <w:rPr>
          <w:rFonts w:ascii="Times New Roman" w:eastAsia="Times New Roman" w:hAnsi="Times New Roman" w:cs="Times New Roman"/>
          <w:sz w:val="24"/>
          <w:szCs w:val="24"/>
        </w:rPr>
        <w:t>arantes de las Entidades Federativas;</w:t>
      </w:r>
    </w:p>
    <w:p w14:paraId="6025CDAD" w14:textId="77777777" w:rsidR="008623DB" w:rsidRPr="00BA784D" w:rsidRDefault="008623DB" w:rsidP="00182DB9">
      <w:pPr>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III. La Auditoría Superior de la Federación;</w:t>
      </w:r>
    </w:p>
    <w:p w14:paraId="1EBB095C" w14:textId="77777777" w:rsidR="00F56323" w:rsidRPr="00BA784D" w:rsidRDefault="008623DB" w:rsidP="00F56323">
      <w:pPr>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IV. El Archivo General de la Nación, y</w:t>
      </w:r>
    </w:p>
    <w:p w14:paraId="174B5B24" w14:textId="0862C99E" w:rsidR="00C93171" w:rsidRPr="00BA784D" w:rsidRDefault="008623DB" w:rsidP="00F56323">
      <w:pPr>
        <w:spacing w:line="360" w:lineRule="auto"/>
        <w:ind w:left="720"/>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V. El Instituto Nacional de Estadística y Geografía</w:t>
      </w:r>
    </w:p>
    <w:p w14:paraId="50DD78E8" w14:textId="77777777" w:rsidR="00F56323" w:rsidRPr="00BA784D" w:rsidRDefault="00F56323" w:rsidP="00F56323">
      <w:pPr>
        <w:spacing w:line="360" w:lineRule="auto"/>
        <w:ind w:left="720"/>
        <w:jc w:val="both"/>
        <w:rPr>
          <w:rFonts w:ascii="Times New Roman" w:eastAsia="Times New Roman" w:hAnsi="Times New Roman" w:cs="Times New Roman"/>
          <w:sz w:val="24"/>
          <w:szCs w:val="24"/>
        </w:rPr>
      </w:pPr>
    </w:p>
    <w:p w14:paraId="7DACFAE5" w14:textId="62B3658A" w:rsidR="005177D0" w:rsidRPr="00BA784D" w:rsidRDefault="005177D0">
      <w:pPr>
        <w:spacing w:after="200" w:line="360" w:lineRule="auto"/>
        <w:jc w:val="both"/>
        <w:rPr>
          <w:rFonts w:ascii="Times New Roman" w:eastAsia="Times New Roman" w:hAnsi="Times New Roman" w:cs="Times New Roman"/>
          <w:bCs/>
          <w:sz w:val="24"/>
          <w:szCs w:val="24"/>
        </w:rPr>
      </w:pPr>
      <w:r w:rsidRPr="00BA784D">
        <w:rPr>
          <w:rFonts w:ascii="Times New Roman" w:eastAsia="Times New Roman" w:hAnsi="Times New Roman" w:cs="Times New Roman"/>
          <w:b/>
          <w:sz w:val="24"/>
          <w:szCs w:val="24"/>
        </w:rPr>
        <w:t xml:space="preserve">Regiones del Sistema Nacional de Transparencia: </w:t>
      </w:r>
      <w:r w:rsidRPr="00BA784D">
        <w:rPr>
          <w:rFonts w:ascii="Times New Roman" w:eastAsia="Times New Roman" w:hAnsi="Times New Roman" w:cs="Times New Roman"/>
          <w:bCs/>
          <w:sz w:val="24"/>
          <w:szCs w:val="24"/>
        </w:rPr>
        <w:t>De conformidad con el artículo 15 de los Lineamientos para la organización, coordinación y funcionamiento de las instancias del SNT, el territorio nacional se divide en cuatro regiones:</w:t>
      </w:r>
    </w:p>
    <w:p w14:paraId="7EF10BA4" w14:textId="77777777" w:rsidR="005177D0" w:rsidRPr="00BA784D" w:rsidRDefault="005177D0" w:rsidP="005177D0">
      <w:pPr>
        <w:pStyle w:val="Prrafodelista"/>
        <w:numPr>
          <w:ilvl w:val="0"/>
          <w:numId w:val="25"/>
        </w:numPr>
        <w:spacing w:after="200" w:line="360" w:lineRule="auto"/>
        <w:rPr>
          <w:rFonts w:ascii="Times New Roman" w:eastAsia="Times New Roman" w:hAnsi="Times New Roman" w:cs="Times New Roman"/>
          <w:bCs/>
          <w:sz w:val="24"/>
          <w:szCs w:val="24"/>
        </w:rPr>
      </w:pPr>
      <w:r w:rsidRPr="00BA784D">
        <w:rPr>
          <w:rFonts w:ascii="Times New Roman" w:eastAsia="Times New Roman" w:hAnsi="Times New Roman" w:cs="Times New Roman"/>
          <w:bCs/>
          <w:sz w:val="24"/>
          <w:szCs w:val="24"/>
        </w:rPr>
        <w:t xml:space="preserve">Centro: Distrito Federal, Guerrero, Hidalgo, Estado de México, Morelos, Oaxaca, Puebla y Tlaxcala; </w:t>
      </w:r>
    </w:p>
    <w:p w14:paraId="44414C9E" w14:textId="77777777" w:rsidR="005177D0" w:rsidRPr="00BA784D" w:rsidRDefault="005177D0" w:rsidP="005177D0">
      <w:pPr>
        <w:pStyle w:val="Prrafodelista"/>
        <w:numPr>
          <w:ilvl w:val="0"/>
          <w:numId w:val="25"/>
        </w:numPr>
        <w:spacing w:after="200" w:line="360" w:lineRule="auto"/>
        <w:rPr>
          <w:rFonts w:ascii="Times New Roman" w:eastAsia="Times New Roman" w:hAnsi="Times New Roman" w:cs="Times New Roman"/>
          <w:bCs/>
          <w:sz w:val="24"/>
          <w:szCs w:val="24"/>
        </w:rPr>
      </w:pPr>
      <w:r w:rsidRPr="00BA784D">
        <w:rPr>
          <w:rFonts w:ascii="Times New Roman" w:eastAsia="Times New Roman" w:hAnsi="Times New Roman" w:cs="Times New Roman"/>
          <w:bCs/>
          <w:sz w:val="24"/>
          <w:szCs w:val="24"/>
        </w:rPr>
        <w:t xml:space="preserve">Centro-Occidente: Aguascalientes, Colima, Guanajuato, Jalisco, Michoacán, Nayarit, Querétaro, San Luis Potosí y Zacatecas; </w:t>
      </w:r>
    </w:p>
    <w:p w14:paraId="3D62427A" w14:textId="77777777" w:rsidR="0096750E" w:rsidRPr="00BA784D" w:rsidRDefault="005177D0" w:rsidP="0096750E">
      <w:pPr>
        <w:pStyle w:val="Prrafodelista"/>
        <w:numPr>
          <w:ilvl w:val="0"/>
          <w:numId w:val="25"/>
        </w:numPr>
        <w:spacing w:after="200" w:line="360" w:lineRule="auto"/>
        <w:rPr>
          <w:rFonts w:ascii="Times New Roman" w:eastAsia="Times New Roman" w:hAnsi="Times New Roman" w:cs="Times New Roman"/>
          <w:bCs/>
          <w:sz w:val="24"/>
          <w:szCs w:val="24"/>
        </w:rPr>
      </w:pPr>
      <w:r w:rsidRPr="00BA784D">
        <w:rPr>
          <w:rFonts w:ascii="Times New Roman" w:eastAsia="Times New Roman" w:hAnsi="Times New Roman" w:cs="Times New Roman"/>
          <w:bCs/>
          <w:sz w:val="24"/>
          <w:szCs w:val="24"/>
        </w:rPr>
        <w:t xml:space="preserve">Norte: Baja California, Baja California Sur, Chihuahua, Coahuila, Durango, Nuevo León, Sinaloa, Sonora y Tamaulipas, y </w:t>
      </w:r>
    </w:p>
    <w:p w14:paraId="477939D9" w14:textId="7DA85217" w:rsidR="005177D0" w:rsidRPr="00BA784D" w:rsidRDefault="005177D0" w:rsidP="0096750E">
      <w:pPr>
        <w:pStyle w:val="Prrafodelista"/>
        <w:numPr>
          <w:ilvl w:val="0"/>
          <w:numId w:val="25"/>
        </w:numPr>
        <w:spacing w:after="200" w:line="360" w:lineRule="auto"/>
        <w:rPr>
          <w:rFonts w:ascii="Times New Roman" w:eastAsia="Times New Roman" w:hAnsi="Times New Roman" w:cs="Times New Roman"/>
          <w:bCs/>
          <w:sz w:val="24"/>
          <w:szCs w:val="24"/>
        </w:rPr>
      </w:pPr>
      <w:r w:rsidRPr="00BA784D">
        <w:rPr>
          <w:rFonts w:ascii="Times New Roman" w:eastAsia="Times New Roman" w:hAnsi="Times New Roman" w:cs="Times New Roman"/>
          <w:bCs/>
          <w:sz w:val="24"/>
          <w:szCs w:val="24"/>
        </w:rPr>
        <w:t>Sureste: Veracruz, Tabasco, Campeche, Chiapas, Yucatán y Quintana Roo.</w:t>
      </w:r>
    </w:p>
    <w:p w14:paraId="03A81525" w14:textId="2E5CA0EB" w:rsidR="00E35B30" w:rsidRPr="00BA784D" w:rsidRDefault="0036612A">
      <w:pPr>
        <w:spacing w:after="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Instrumentos de consulta</w:t>
      </w:r>
      <w:r w:rsidRPr="00BA784D">
        <w:rPr>
          <w:rFonts w:ascii="Times New Roman" w:eastAsia="Times New Roman" w:hAnsi="Times New Roman" w:cs="Times New Roman"/>
          <w:sz w:val="24"/>
          <w:szCs w:val="24"/>
        </w:rPr>
        <w:t xml:space="preserve">: Los inventarios generales, de transferencia o baja documental, </w:t>
      </w:r>
      <w:proofErr w:type="spellStart"/>
      <w:r w:rsidRPr="00BA784D">
        <w:rPr>
          <w:rFonts w:ascii="Times New Roman" w:eastAsia="Times New Roman" w:hAnsi="Times New Roman" w:cs="Times New Roman"/>
          <w:sz w:val="24"/>
          <w:szCs w:val="24"/>
        </w:rPr>
        <w:t>asi</w:t>
      </w:r>
      <w:proofErr w:type="spellEnd"/>
      <w:r w:rsidRPr="00BA784D">
        <w:rPr>
          <w:rFonts w:ascii="Times New Roman" w:eastAsia="Times New Roman" w:hAnsi="Times New Roman" w:cs="Times New Roman"/>
          <w:sz w:val="24"/>
          <w:szCs w:val="24"/>
        </w:rPr>
        <w:t xml:space="preserve">́ como las </w:t>
      </w:r>
      <w:proofErr w:type="spellStart"/>
      <w:r w:rsidRPr="00BA784D">
        <w:rPr>
          <w:rFonts w:ascii="Times New Roman" w:eastAsia="Times New Roman" w:hAnsi="Times New Roman" w:cs="Times New Roman"/>
          <w:sz w:val="24"/>
          <w:szCs w:val="24"/>
        </w:rPr>
        <w:t>guías</w:t>
      </w:r>
      <w:proofErr w:type="spellEnd"/>
      <w:r w:rsidRPr="00BA784D">
        <w:rPr>
          <w:rFonts w:ascii="Times New Roman" w:eastAsia="Times New Roman" w:hAnsi="Times New Roman" w:cs="Times New Roman"/>
          <w:sz w:val="24"/>
          <w:szCs w:val="24"/>
        </w:rPr>
        <w:t xml:space="preserve"> de fondos y los catálogos documentales;</w:t>
      </w:r>
    </w:p>
    <w:p w14:paraId="623FD7AC"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Línea de acción</w:t>
      </w:r>
      <w:r w:rsidRPr="00BA784D">
        <w:rPr>
          <w:rFonts w:ascii="Times New Roman" w:eastAsia="Times New Roman" w:hAnsi="Times New Roman" w:cs="Times New Roman"/>
          <w:sz w:val="24"/>
          <w:szCs w:val="24"/>
        </w:rPr>
        <w:t xml:space="preserve">: El catálogo de actividades encaminadas al resultado del objetivo </w:t>
      </w:r>
      <w:proofErr w:type="spellStart"/>
      <w:r w:rsidRPr="00BA784D">
        <w:rPr>
          <w:rFonts w:ascii="Times New Roman" w:eastAsia="Times New Roman" w:hAnsi="Times New Roman" w:cs="Times New Roman"/>
          <w:sz w:val="24"/>
          <w:szCs w:val="24"/>
        </w:rPr>
        <w:t>estratégico</w:t>
      </w:r>
      <w:proofErr w:type="spellEnd"/>
      <w:r w:rsidRPr="00BA784D">
        <w:rPr>
          <w:rFonts w:ascii="Times New Roman" w:eastAsia="Times New Roman" w:hAnsi="Times New Roman" w:cs="Times New Roman"/>
          <w:sz w:val="24"/>
          <w:szCs w:val="24"/>
        </w:rPr>
        <w:t xml:space="preserve"> respectivo;</w:t>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p>
    <w:p w14:paraId="4641DA45" w14:textId="77777777" w:rsidR="00E35B30" w:rsidRPr="00BA784D" w:rsidRDefault="0036612A">
      <w:pPr>
        <w:spacing w:before="240" w:after="24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Meta</w:t>
      </w:r>
      <w:r w:rsidRPr="00BA784D">
        <w:rPr>
          <w:rFonts w:ascii="Times New Roman" w:eastAsia="Times New Roman" w:hAnsi="Times New Roman" w:cs="Times New Roman"/>
          <w:sz w:val="24"/>
          <w:szCs w:val="24"/>
        </w:rPr>
        <w:t xml:space="preserve">: El valor que se espera alcance un indicador y sirva de evidencia del avance en la </w:t>
      </w:r>
      <w:proofErr w:type="spellStart"/>
      <w:r w:rsidRPr="00BA784D">
        <w:rPr>
          <w:rFonts w:ascii="Times New Roman" w:eastAsia="Times New Roman" w:hAnsi="Times New Roman" w:cs="Times New Roman"/>
          <w:sz w:val="24"/>
          <w:szCs w:val="24"/>
        </w:rPr>
        <w:t>consecución</w:t>
      </w:r>
      <w:proofErr w:type="spellEnd"/>
      <w:r w:rsidRPr="00BA784D">
        <w:rPr>
          <w:rFonts w:ascii="Times New Roman" w:eastAsia="Times New Roman" w:hAnsi="Times New Roman" w:cs="Times New Roman"/>
          <w:sz w:val="24"/>
          <w:szCs w:val="24"/>
        </w:rPr>
        <w:t xml:space="preserve"> de los objetivos </w:t>
      </w:r>
      <w:proofErr w:type="spellStart"/>
      <w:r w:rsidRPr="00BA784D">
        <w:rPr>
          <w:rFonts w:ascii="Times New Roman" w:eastAsia="Times New Roman" w:hAnsi="Times New Roman" w:cs="Times New Roman"/>
          <w:sz w:val="24"/>
          <w:szCs w:val="24"/>
        </w:rPr>
        <w:t>estratégicos</w:t>
      </w:r>
      <w:proofErr w:type="spellEnd"/>
      <w:r w:rsidRPr="00BA784D">
        <w:rPr>
          <w:rFonts w:ascii="Times New Roman" w:eastAsia="Times New Roman" w:hAnsi="Times New Roman" w:cs="Times New Roman"/>
          <w:sz w:val="24"/>
          <w:szCs w:val="24"/>
        </w:rPr>
        <w:t xml:space="preserve"> en un periodo establecido;</w:t>
      </w:r>
    </w:p>
    <w:p w14:paraId="675F5B69" w14:textId="77777777" w:rsidR="00E35B30" w:rsidRPr="00BA784D" w:rsidRDefault="0036612A">
      <w:pPr>
        <w:spacing w:after="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lastRenderedPageBreak/>
        <w:t xml:space="preserve">Medios de </w:t>
      </w:r>
      <w:proofErr w:type="spellStart"/>
      <w:r w:rsidRPr="00BA784D">
        <w:rPr>
          <w:rFonts w:ascii="Times New Roman" w:eastAsia="Times New Roman" w:hAnsi="Times New Roman" w:cs="Times New Roman"/>
          <w:b/>
          <w:sz w:val="24"/>
          <w:szCs w:val="24"/>
        </w:rPr>
        <w:t>impugnación</w:t>
      </w:r>
      <w:proofErr w:type="spellEnd"/>
      <w:r w:rsidRPr="00BA784D">
        <w:rPr>
          <w:rFonts w:ascii="Times New Roman" w:eastAsia="Times New Roman" w:hAnsi="Times New Roman" w:cs="Times New Roman"/>
          <w:sz w:val="24"/>
          <w:szCs w:val="24"/>
        </w:rPr>
        <w:t xml:space="preserve">: Actos procesales mediante los cuales se pueden revise la respuesta, o la falta de </w:t>
      </w:r>
      <w:proofErr w:type="spellStart"/>
      <w:r w:rsidRPr="00BA784D">
        <w:rPr>
          <w:rFonts w:ascii="Times New Roman" w:eastAsia="Times New Roman" w:hAnsi="Times New Roman" w:cs="Times New Roman"/>
          <w:sz w:val="24"/>
          <w:szCs w:val="24"/>
        </w:rPr>
        <w:t>ésta</w:t>
      </w:r>
      <w:proofErr w:type="spellEnd"/>
      <w:r w:rsidRPr="00BA784D">
        <w:rPr>
          <w:rFonts w:ascii="Times New Roman" w:eastAsia="Times New Roman" w:hAnsi="Times New Roman" w:cs="Times New Roman"/>
          <w:sz w:val="24"/>
          <w:szCs w:val="24"/>
        </w:rPr>
        <w:t xml:space="preserve">, </w:t>
      </w:r>
      <w:proofErr w:type="spellStart"/>
      <w:r w:rsidRPr="00BA784D">
        <w:rPr>
          <w:rFonts w:ascii="Times New Roman" w:eastAsia="Times New Roman" w:hAnsi="Times New Roman" w:cs="Times New Roman"/>
          <w:sz w:val="24"/>
          <w:szCs w:val="24"/>
        </w:rPr>
        <w:t>asi</w:t>
      </w:r>
      <w:proofErr w:type="spellEnd"/>
      <w:r w:rsidRPr="00BA784D">
        <w:rPr>
          <w:rFonts w:ascii="Times New Roman" w:eastAsia="Times New Roman" w:hAnsi="Times New Roman" w:cs="Times New Roman"/>
          <w:sz w:val="24"/>
          <w:szCs w:val="24"/>
        </w:rPr>
        <w:t>́ como las resoluciones de los Organismos Garantes para que se estudie su procedencia y legalidad;</w:t>
      </w:r>
    </w:p>
    <w:p w14:paraId="5042BCE3" w14:textId="77777777" w:rsidR="00E35B30" w:rsidRPr="00BA784D" w:rsidRDefault="0036612A">
      <w:pPr>
        <w:spacing w:after="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Objetivo Estratégico</w:t>
      </w:r>
      <w:r w:rsidRPr="00BA784D">
        <w:rPr>
          <w:rFonts w:ascii="Times New Roman" w:eastAsia="Times New Roman" w:hAnsi="Times New Roman" w:cs="Times New Roman"/>
          <w:sz w:val="24"/>
          <w:szCs w:val="24"/>
        </w:rPr>
        <w:t xml:space="preserve">: El fin general al que se ajustan las </w:t>
      </w:r>
      <w:proofErr w:type="spellStart"/>
      <w:r w:rsidRPr="00BA784D">
        <w:rPr>
          <w:rFonts w:ascii="Times New Roman" w:eastAsia="Times New Roman" w:hAnsi="Times New Roman" w:cs="Times New Roman"/>
          <w:sz w:val="24"/>
          <w:szCs w:val="24"/>
        </w:rPr>
        <w:t>líneas</w:t>
      </w:r>
      <w:proofErr w:type="spellEnd"/>
      <w:r w:rsidRPr="00BA784D">
        <w:rPr>
          <w:rFonts w:ascii="Times New Roman" w:eastAsia="Times New Roman" w:hAnsi="Times New Roman" w:cs="Times New Roman"/>
          <w:sz w:val="24"/>
          <w:szCs w:val="24"/>
        </w:rPr>
        <w:t xml:space="preserve"> de </w:t>
      </w:r>
      <w:proofErr w:type="spellStart"/>
      <w:r w:rsidRPr="00BA784D">
        <w:rPr>
          <w:rFonts w:ascii="Times New Roman" w:eastAsia="Times New Roman" w:hAnsi="Times New Roman" w:cs="Times New Roman"/>
          <w:sz w:val="24"/>
          <w:szCs w:val="24"/>
        </w:rPr>
        <w:t>acción</w:t>
      </w:r>
      <w:proofErr w:type="spellEnd"/>
      <w:r w:rsidRPr="00BA784D">
        <w:rPr>
          <w:rFonts w:ascii="Times New Roman" w:eastAsia="Times New Roman" w:hAnsi="Times New Roman" w:cs="Times New Roman"/>
          <w:sz w:val="24"/>
          <w:szCs w:val="24"/>
        </w:rPr>
        <w:t xml:space="preserve"> y que se asocia </w:t>
      </w:r>
      <w:proofErr w:type="spellStart"/>
      <w:r w:rsidRPr="00BA784D">
        <w:rPr>
          <w:rFonts w:ascii="Times New Roman" w:eastAsia="Times New Roman" w:hAnsi="Times New Roman" w:cs="Times New Roman"/>
          <w:sz w:val="24"/>
          <w:szCs w:val="24"/>
        </w:rPr>
        <w:t>unívocamente</w:t>
      </w:r>
      <w:proofErr w:type="spellEnd"/>
      <w:r w:rsidRPr="00BA784D">
        <w:rPr>
          <w:rFonts w:ascii="Times New Roman" w:eastAsia="Times New Roman" w:hAnsi="Times New Roman" w:cs="Times New Roman"/>
          <w:sz w:val="24"/>
          <w:szCs w:val="24"/>
        </w:rPr>
        <w:t xml:space="preserve"> con las estrategias. Refleja de manera concisa la </w:t>
      </w:r>
      <w:proofErr w:type="spellStart"/>
      <w:r w:rsidRPr="00BA784D">
        <w:rPr>
          <w:rFonts w:ascii="Times New Roman" w:eastAsia="Times New Roman" w:hAnsi="Times New Roman" w:cs="Times New Roman"/>
          <w:sz w:val="24"/>
          <w:szCs w:val="24"/>
        </w:rPr>
        <w:t>solución</w:t>
      </w:r>
      <w:proofErr w:type="spellEnd"/>
      <w:r w:rsidRPr="00BA784D">
        <w:rPr>
          <w:rFonts w:ascii="Times New Roman" w:eastAsia="Times New Roman" w:hAnsi="Times New Roman" w:cs="Times New Roman"/>
          <w:sz w:val="24"/>
          <w:szCs w:val="24"/>
        </w:rPr>
        <w:t xml:space="preserve"> de las </w:t>
      </w:r>
      <w:proofErr w:type="spellStart"/>
      <w:r w:rsidRPr="00BA784D">
        <w:rPr>
          <w:rFonts w:ascii="Times New Roman" w:eastAsia="Times New Roman" w:hAnsi="Times New Roman" w:cs="Times New Roman"/>
          <w:sz w:val="24"/>
          <w:szCs w:val="24"/>
        </w:rPr>
        <w:t>problemáticas</w:t>
      </w:r>
      <w:proofErr w:type="spellEnd"/>
      <w:r w:rsidRPr="00BA784D">
        <w:rPr>
          <w:rFonts w:ascii="Times New Roman" w:eastAsia="Times New Roman" w:hAnsi="Times New Roman" w:cs="Times New Roman"/>
          <w:sz w:val="24"/>
          <w:szCs w:val="24"/>
        </w:rPr>
        <w:t xml:space="preserve"> identificadas en el eje temático o transversal;</w:t>
      </w:r>
    </w:p>
    <w:p w14:paraId="2B551FF7" w14:textId="77777777" w:rsidR="00E35B30" w:rsidRPr="00BA784D" w:rsidRDefault="0036612A">
      <w:pPr>
        <w:spacing w:after="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Obligaciones de transparencia</w:t>
      </w:r>
      <w:r w:rsidRPr="00BA784D">
        <w:rPr>
          <w:rFonts w:ascii="Times New Roman" w:eastAsia="Times New Roman" w:hAnsi="Times New Roman" w:cs="Times New Roman"/>
          <w:sz w:val="24"/>
          <w:szCs w:val="24"/>
        </w:rPr>
        <w:t xml:space="preserve">: El </w:t>
      </w:r>
      <w:proofErr w:type="spellStart"/>
      <w:r w:rsidRPr="00BA784D">
        <w:rPr>
          <w:rFonts w:ascii="Times New Roman" w:eastAsia="Times New Roman" w:hAnsi="Times New Roman" w:cs="Times New Roman"/>
          <w:sz w:val="24"/>
          <w:szCs w:val="24"/>
        </w:rPr>
        <w:t>catálogo</w:t>
      </w:r>
      <w:proofErr w:type="spellEnd"/>
      <w:r w:rsidRPr="00BA784D">
        <w:rPr>
          <w:rFonts w:ascii="Times New Roman" w:eastAsia="Times New Roman" w:hAnsi="Times New Roman" w:cs="Times New Roman"/>
          <w:sz w:val="24"/>
          <w:szCs w:val="24"/>
        </w:rPr>
        <w:t xml:space="preserve"> de </w:t>
      </w:r>
      <w:proofErr w:type="spellStart"/>
      <w:r w:rsidRPr="00BA784D">
        <w:rPr>
          <w:rFonts w:ascii="Times New Roman" w:eastAsia="Times New Roman" w:hAnsi="Times New Roman" w:cs="Times New Roman"/>
          <w:sz w:val="24"/>
          <w:szCs w:val="24"/>
        </w:rPr>
        <w:t>información</w:t>
      </w:r>
      <w:proofErr w:type="spellEnd"/>
      <w:r w:rsidRPr="00BA784D">
        <w:rPr>
          <w:rFonts w:ascii="Times New Roman" w:eastAsia="Times New Roman" w:hAnsi="Times New Roman" w:cs="Times New Roman"/>
          <w:sz w:val="24"/>
          <w:szCs w:val="24"/>
        </w:rPr>
        <w:t xml:space="preserve"> prescrita en el </w:t>
      </w:r>
      <w:proofErr w:type="spellStart"/>
      <w:r w:rsidRPr="00BA784D">
        <w:rPr>
          <w:rFonts w:ascii="Times New Roman" w:eastAsia="Times New Roman" w:hAnsi="Times New Roman" w:cs="Times New Roman"/>
          <w:sz w:val="24"/>
          <w:szCs w:val="24"/>
        </w:rPr>
        <w:t>Título</w:t>
      </w:r>
      <w:proofErr w:type="spellEnd"/>
      <w:r w:rsidRPr="00BA784D">
        <w:rPr>
          <w:rFonts w:ascii="Times New Roman" w:eastAsia="Times New Roman" w:hAnsi="Times New Roman" w:cs="Times New Roman"/>
          <w:sz w:val="24"/>
          <w:szCs w:val="24"/>
        </w:rPr>
        <w:t xml:space="preserve"> Quinto de la Ley General de Transparencia y Acceso a la Información Pública;</w:t>
      </w:r>
    </w:p>
    <w:p w14:paraId="7BB815DA" w14:textId="77777777" w:rsidR="00E35B30" w:rsidRPr="00BA784D" w:rsidRDefault="0036612A">
      <w:pPr>
        <w:spacing w:after="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Obligaciones comunes</w:t>
      </w:r>
      <w:r w:rsidRPr="00BA784D">
        <w:rPr>
          <w:rFonts w:ascii="Times New Roman" w:eastAsia="Times New Roman" w:hAnsi="Times New Roman" w:cs="Times New Roman"/>
          <w:sz w:val="24"/>
          <w:szCs w:val="24"/>
        </w:rPr>
        <w:t xml:space="preserve">: Son aquellas que describen la </w:t>
      </w:r>
      <w:proofErr w:type="spellStart"/>
      <w:r w:rsidRPr="00BA784D">
        <w:rPr>
          <w:rFonts w:ascii="Times New Roman" w:eastAsia="Times New Roman" w:hAnsi="Times New Roman" w:cs="Times New Roman"/>
          <w:sz w:val="24"/>
          <w:szCs w:val="24"/>
        </w:rPr>
        <w:t>información</w:t>
      </w:r>
      <w:proofErr w:type="spellEnd"/>
      <w:r w:rsidRPr="00BA784D">
        <w:rPr>
          <w:rFonts w:ascii="Times New Roman" w:eastAsia="Times New Roman" w:hAnsi="Times New Roman" w:cs="Times New Roman"/>
          <w:sz w:val="24"/>
          <w:szCs w:val="24"/>
        </w:rPr>
        <w:t xml:space="preserve"> que </w:t>
      </w:r>
      <w:proofErr w:type="spellStart"/>
      <w:r w:rsidRPr="00BA784D">
        <w:rPr>
          <w:rFonts w:ascii="Times New Roman" w:eastAsia="Times New Roman" w:hAnsi="Times New Roman" w:cs="Times New Roman"/>
          <w:sz w:val="24"/>
          <w:szCs w:val="24"/>
        </w:rPr>
        <w:t>deberán</w:t>
      </w:r>
      <w:proofErr w:type="spellEnd"/>
      <w:r w:rsidRPr="00BA784D">
        <w:rPr>
          <w:rFonts w:ascii="Times New Roman" w:eastAsia="Times New Roman" w:hAnsi="Times New Roman" w:cs="Times New Roman"/>
          <w:sz w:val="24"/>
          <w:szCs w:val="24"/>
        </w:rPr>
        <w:t xml:space="preserve"> poner a </w:t>
      </w:r>
      <w:proofErr w:type="spellStart"/>
      <w:r w:rsidRPr="00BA784D">
        <w:rPr>
          <w:rFonts w:ascii="Times New Roman" w:eastAsia="Times New Roman" w:hAnsi="Times New Roman" w:cs="Times New Roman"/>
          <w:sz w:val="24"/>
          <w:szCs w:val="24"/>
        </w:rPr>
        <w:t>disposición</w:t>
      </w:r>
      <w:proofErr w:type="spellEnd"/>
      <w:r w:rsidRPr="00BA784D">
        <w:rPr>
          <w:rFonts w:ascii="Times New Roman" w:eastAsia="Times New Roman" w:hAnsi="Times New Roman" w:cs="Times New Roman"/>
          <w:sz w:val="24"/>
          <w:szCs w:val="24"/>
        </w:rPr>
        <w:t xml:space="preserve"> de los particulares y mantener actualizada en los sitios de Internet correspondientes y en la Plataforma Nacional todos los sujetos obligados, sin </w:t>
      </w:r>
      <w:proofErr w:type="spellStart"/>
      <w:r w:rsidRPr="00BA784D">
        <w:rPr>
          <w:rFonts w:ascii="Times New Roman" w:eastAsia="Times New Roman" w:hAnsi="Times New Roman" w:cs="Times New Roman"/>
          <w:sz w:val="24"/>
          <w:szCs w:val="24"/>
        </w:rPr>
        <w:t>excepción</w:t>
      </w:r>
      <w:proofErr w:type="spellEnd"/>
      <w:r w:rsidRPr="00BA784D">
        <w:rPr>
          <w:rFonts w:ascii="Times New Roman" w:eastAsia="Times New Roman" w:hAnsi="Times New Roman" w:cs="Times New Roman"/>
          <w:sz w:val="24"/>
          <w:szCs w:val="24"/>
        </w:rPr>
        <w:t xml:space="preserve"> alguna, y que se refieren a temas, documentos y </w:t>
      </w:r>
      <w:proofErr w:type="spellStart"/>
      <w:r w:rsidRPr="00BA784D">
        <w:rPr>
          <w:rFonts w:ascii="Times New Roman" w:eastAsia="Times New Roman" w:hAnsi="Times New Roman" w:cs="Times New Roman"/>
          <w:sz w:val="24"/>
          <w:szCs w:val="24"/>
        </w:rPr>
        <w:t>políticas</w:t>
      </w:r>
      <w:proofErr w:type="spellEnd"/>
      <w:r w:rsidRPr="00BA784D">
        <w:rPr>
          <w:rFonts w:ascii="Times New Roman" w:eastAsia="Times New Roman" w:hAnsi="Times New Roman" w:cs="Times New Roman"/>
          <w:sz w:val="24"/>
          <w:szCs w:val="24"/>
        </w:rPr>
        <w:t xml:space="preserve"> que aquellos poseen en ejercicio de sus facultades, obligaciones y el uso de recursos </w:t>
      </w:r>
      <w:proofErr w:type="spellStart"/>
      <w:r w:rsidRPr="00BA784D">
        <w:rPr>
          <w:rFonts w:ascii="Times New Roman" w:eastAsia="Times New Roman" w:hAnsi="Times New Roman" w:cs="Times New Roman"/>
          <w:sz w:val="24"/>
          <w:szCs w:val="24"/>
        </w:rPr>
        <w:t>públicos</w:t>
      </w:r>
      <w:proofErr w:type="spellEnd"/>
      <w:r w:rsidRPr="00BA784D">
        <w:rPr>
          <w:rFonts w:ascii="Times New Roman" w:eastAsia="Times New Roman" w:hAnsi="Times New Roman" w:cs="Times New Roman"/>
          <w:sz w:val="24"/>
          <w:szCs w:val="24"/>
        </w:rPr>
        <w:t xml:space="preserve">, respecto de: su </w:t>
      </w:r>
      <w:proofErr w:type="spellStart"/>
      <w:r w:rsidRPr="00BA784D">
        <w:rPr>
          <w:rFonts w:ascii="Times New Roman" w:eastAsia="Times New Roman" w:hAnsi="Times New Roman" w:cs="Times New Roman"/>
          <w:sz w:val="24"/>
          <w:szCs w:val="24"/>
        </w:rPr>
        <w:t>organización</w:t>
      </w:r>
      <w:proofErr w:type="spellEnd"/>
      <w:r w:rsidRPr="00BA784D">
        <w:rPr>
          <w:rFonts w:ascii="Times New Roman" w:eastAsia="Times New Roman" w:hAnsi="Times New Roman" w:cs="Times New Roman"/>
          <w:sz w:val="24"/>
          <w:szCs w:val="24"/>
        </w:rPr>
        <w:t xml:space="preserve"> interna y funcionamiento, </w:t>
      </w:r>
      <w:proofErr w:type="spellStart"/>
      <w:r w:rsidRPr="00BA784D">
        <w:rPr>
          <w:rFonts w:ascii="Times New Roman" w:eastAsia="Times New Roman" w:hAnsi="Times New Roman" w:cs="Times New Roman"/>
          <w:sz w:val="24"/>
          <w:szCs w:val="24"/>
        </w:rPr>
        <w:t>atención</w:t>
      </w:r>
      <w:proofErr w:type="spellEnd"/>
      <w:r w:rsidRPr="00BA784D">
        <w:rPr>
          <w:rFonts w:ascii="Times New Roman" w:eastAsia="Times New Roman" w:hAnsi="Times New Roman" w:cs="Times New Roman"/>
          <w:sz w:val="24"/>
          <w:szCs w:val="24"/>
        </w:rPr>
        <w:t xml:space="preserve"> al </w:t>
      </w:r>
      <w:proofErr w:type="spellStart"/>
      <w:r w:rsidRPr="00BA784D">
        <w:rPr>
          <w:rFonts w:ascii="Times New Roman" w:eastAsia="Times New Roman" w:hAnsi="Times New Roman" w:cs="Times New Roman"/>
          <w:sz w:val="24"/>
          <w:szCs w:val="24"/>
        </w:rPr>
        <w:t>público</w:t>
      </w:r>
      <w:proofErr w:type="spellEnd"/>
      <w:r w:rsidRPr="00BA784D">
        <w:rPr>
          <w:rFonts w:ascii="Times New Roman" w:eastAsia="Times New Roman" w:hAnsi="Times New Roman" w:cs="Times New Roman"/>
          <w:sz w:val="24"/>
          <w:szCs w:val="24"/>
        </w:rPr>
        <w:t xml:space="preserve">, ejercicio de los recursos </w:t>
      </w:r>
      <w:proofErr w:type="spellStart"/>
      <w:r w:rsidRPr="00BA784D">
        <w:rPr>
          <w:rFonts w:ascii="Times New Roman" w:eastAsia="Times New Roman" w:hAnsi="Times New Roman" w:cs="Times New Roman"/>
          <w:sz w:val="24"/>
          <w:szCs w:val="24"/>
        </w:rPr>
        <w:t>públicos</w:t>
      </w:r>
      <w:proofErr w:type="spellEnd"/>
      <w:r w:rsidRPr="00BA784D">
        <w:rPr>
          <w:rFonts w:ascii="Times New Roman" w:eastAsia="Times New Roman" w:hAnsi="Times New Roman" w:cs="Times New Roman"/>
          <w:sz w:val="24"/>
          <w:szCs w:val="24"/>
        </w:rPr>
        <w:t xml:space="preserve">, determinaciones institucionales, estudios, ingresos recibidos y donaciones realizadas, </w:t>
      </w:r>
      <w:proofErr w:type="spellStart"/>
      <w:r w:rsidRPr="00BA784D">
        <w:rPr>
          <w:rFonts w:ascii="Times New Roman" w:eastAsia="Times New Roman" w:hAnsi="Times New Roman" w:cs="Times New Roman"/>
          <w:sz w:val="24"/>
          <w:szCs w:val="24"/>
        </w:rPr>
        <w:t>organización</w:t>
      </w:r>
      <w:proofErr w:type="spellEnd"/>
      <w:r w:rsidRPr="00BA784D">
        <w:rPr>
          <w:rFonts w:ascii="Times New Roman" w:eastAsia="Times New Roman" w:hAnsi="Times New Roman" w:cs="Times New Roman"/>
          <w:sz w:val="24"/>
          <w:szCs w:val="24"/>
        </w:rPr>
        <w:t xml:space="preserve"> de archivos, entre otros;</w:t>
      </w:r>
    </w:p>
    <w:p w14:paraId="7D877463" w14:textId="0016A835" w:rsidR="00C74C29" w:rsidRPr="00BA784D" w:rsidRDefault="0036612A" w:rsidP="00FC2A4F">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Organismos Garantes</w:t>
      </w:r>
      <w:r w:rsidRPr="00BA784D">
        <w:rPr>
          <w:rFonts w:ascii="Times New Roman" w:eastAsia="Times New Roman" w:hAnsi="Times New Roman" w:cs="Times New Roman"/>
          <w:sz w:val="24"/>
          <w:szCs w:val="24"/>
        </w:rPr>
        <w:t xml:space="preserve">: Aquellos con </w:t>
      </w:r>
      <w:proofErr w:type="spellStart"/>
      <w:r w:rsidRPr="00BA784D">
        <w:rPr>
          <w:rFonts w:ascii="Times New Roman" w:eastAsia="Times New Roman" w:hAnsi="Times New Roman" w:cs="Times New Roman"/>
          <w:sz w:val="24"/>
          <w:szCs w:val="24"/>
        </w:rPr>
        <w:t>autonomía</w:t>
      </w:r>
      <w:proofErr w:type="spellEnd"/>
      <w:r w:rsidRPr="00BA784D">
        <w:rPr>
          <w:rFonts w:ascii="Times New Roman" w:eastAsia="Times New Roman" w:hAnsi="Times New Roman" w:cs="Times New Roman"/>
          <w:sz w:val="24"/>
          <w:szCs w:val="24"/>
        </w:rPr>
        <w:t xml:space="preserve"> constitucional especializados en materia de acceso a la </w:t>
      </w:r>
      <w:proofErr w:type="spellStart"/>
      <w:r w:rsidRPr="00BA784D">
        <w:rPr>
          <w:rFonts w:ascii="Times New Roman" w:eastAsia="Times New Roman" w:hAnsi="Times New Roman" w:cs="Times New Roman"/>
          <w:sz w:val="24"/>
          <w:szCs w:val="24"/>
        </w:rPr>
        <w:t>información</w:t>
      </w:r>
      <w:proofErr w:type="spellEnd"/>
      <w:r w:rsidRPr="00BA784D">
        <w:rPr>
          <w:rFonts w:ascii="Times New Roman" w:eastAsia="Times New Roman" w:hAnsi="Times New Roman" w:cs="Times New Roman"/>
          <w:sz w:val="24"/>
          <w:szCs w:val="24"/>
        </w:rPr>
        <w:t xml:space="preserve"> y </w:t>
      </w:r>
      <w:proofErr w:type="spellStart"/>
      <w:r w:rsidRPr="00BA784D">
        <w:rPr>
          <w:rFonts w:ascii="Times New Roman" w:eastAsia="Times New Roman" w:hAnsi="Times New Roman" w:cs="Times New Roman"/>
          <w:sz w:val="24"/>
          <w:szCs w:val="24"/>
        </w:rPr>
        <w:t>protección</w:t>
      </w:r>
      <w:proofErr w:type="spellEnd"/>
      <w:r w:rsidRPr="00BA784D">
        <w:rPr>
          <w:rFonts w:ascii="Times New Roman" w:eastAsia="Times New Roman" w:hAnsi="Times New Roman" w:cs="Times New Roman"/>
          <w:sz w:val="24"/>
          <w:szCs w:val="24"/>
        </w:rPr>
        <w:t xml:space="preserve"> de datos personales en </w:t>
      </w:r>
      <w:proofErr w:type="spellStart"/>
      <w:r w:rsidRPr="00BA784D">
        <w:rPr>
          <w:rFonts w:ascii="Times New Roman" w:eastAsia="Times New Roman" w:hAnsi="Times New Roman" w:cs="Times New Roman"/>
          <w:sz w:val="24"/>
          <w:szCs w:val="24"/>
        </w:rPr>
        <w:t>términos</w:t>
      </w:r>
      <w:proofErr w:type="spellEnd"/>
      <w:r w:rsidRPr="00BA784D">
        <w:rPr>
          <w:rFonts w:ascii="Times New Roman" w:eastAsia="Times New Roman" w:hAnsi="Times New Roman" w:cs="Times New Roman"/>
          <w:sz w:val="24"/>
          <w:szCs w:val="24"/>
        </w:rPr>
        <w:t xml:space="preserve"> de los </w:t>
      </w:r>
      <w:proofErr w:type="spellStart"/>
      <w:r w:rsidRPr="00BA784D">
        <w:rPr>
          <w:rFonts w:ascii="Times New Roman" w:eastAsia="Times New Roman" w:hAnsi="Times New Roman" w:cs="Times New Roman"/>
          <w:sz w:val="24"/>
          <w:szCs w:val="24"/>
        </w:rPr>
        <w:t>artículos</w:t>
      </w:r>
      <w:proofErr w:type="spellEnd"/>
      <w:r w:rsidRPr="00BA784D">
        <w:rPr>
          <w:rFonts w:ascii="Times New Roman" w:eastAsia="Times New Roman" w:hAnsi="Times New Roman" w:cs="Times New Roman"/>
          <w:sz w:val="24"/>
          <w:szCs w:val="24"/>
        </w:rPr>
        <w:t xml:space="preserve"> 6o., 116, </w:t>
      </w:r>
      <w:proofErr w:type="spellStart"/>
      <w:r w:rsidRPr="00BA784D">
        <w:rPr>
          <w:rFonts w:ascii="Times New Roman" w:eastAsia="Times New Roman" w:hAnsi="Times New Roman" w:cs="Times New Roman"/>
          <w:sz w:val="24"/>
          <w:szCs w:val="24"/>
        </w:rPr>
        <w:t>fracción</w:t>
      </w:r>
      <w:proofErr w:type="spellEnd"/>
      <w:r w:rsidRPr="00BA784D">
        <w:rPr>
          <w:rFonts w:ascii="Times New Roman" w:eastAsia="Times New Roman" w:hAnsi="Times New Roman" w:cs="Times New Roman"/>
          <w:sz w:val="24"/>
          <w:szCs w:val="24"/>
        </w:rPr>
        <w:t xml:space="preserve"> VIII y 122, apartado C, BASE PRIMERA, </w:t>
      </w:r>
      <w:proofErr w:type="spellStart"/>
      <w:r w:rsidRPr="00BA784D">
        <w:rPr>
          <w:rFonts w:ascii="Times New Roman" w:eastAsia="Times New Roman" w:hAnsi="Times New Roman" w:cs="Times New Roman"/>
          <w:sz w:val="24"/>
          <w:szCs w:val="24"/>
        </w:rPr>
        <w:t>Fracción</w:t>
      </w:r>
      <w:proofErr w:type="spellEnd"/>
      <w:r w:rsidRPr="00BA784D">
        <w:rPr>
          <w:rFonts w:ascii="Times New Roman" w:eastAsia="Times New Roman" w:hAnsi="Times New Roman" w:cs="Times New Roman"/>
          <w:sz w:val="24"/>
          <w:szCs w:val="24"/>
        </w:rPr>
        <w:t xml:space="preserve"> V, inciso ñ) de la </w:t>
      </w:r>
      <w:proofErr w:type="spellStart"/>
      <w:r w:rsidRPr="00BA784D">
        <w:rPr>
          <w:rFonts w:ascii="Times New Roman" w:eastAsia="Times New Roman" w:hAnsi="Times New Roman" w:cs="Times New Roman"/>
          <w:sz w:val="24"/>
          <w:szCs w:val="24"/>
        </w:rPr>
        <w:t>Constitución</w:t>
      </w:r>
      <w:proofErr w:type="spellEnd"/>
      <w:r w:rsidRPr="00BA784D">
        <w:rPr>
          <w:rFonts w:ascii="Times New Roman" w:eastAsia="Times New Roman" w:hAnsi="Times New Roman" w:cs="Times New Roman"/>
          <w:sz w:val="24"/>
          <w:szCs w:val="24"/>
        </w:rPr>
        <w:t xml:space="preserve"> </w:t>
      </w:r>
      <w:proofErr w:type="spellStart"/>
      <w:r w:rsidRPr="00BA784D">
        <w:rPr>
          <w:rFonts w:ascii="Times New Roman" w:eastAsia="Times New Roman" w:hAnsi="Times New Roman" w:cs="Times New Roman"/>
          <w:sz w:val="24"/>
          <w:szCs w:val="24"/>
        </w:rPr>
        <w:t>Política</w:t>
      </w:r>
      <w:proofErr w:type="spellEnd"/>
      <w:r w:rsidRPr="00BA784D">
        <w:rPr>
          <w:rFonts w:ascii="Times New Roman" w:eastAsia="Times New Roman" w:hAnsi="Times New Roman" w:cs="Times New Roman"/>
          <w:sz w:val="24"/>
          <w:szCs w:val="24"/>
        </w:rPr>
        <w:t xml:space="preserve"> de los Estados Unidos Mexicanos</w:t>
      </w:r>
      <w:r w:rsidR="004F1FF4" w:rsidRPr="00BA784D">
        <w:rPr>
          <w:rFonts w:ascii="Times New Roman" w:eastAsia="Times New Roman" w:hAnsi="Times New Roman" w:cs="Times New Roman"/>
          <w:sz w:val="24"/>
          <w:szCs w:val="24"/>
        </w:rPr>
        <w:t>.</w:t>
      </w:r>
      <w:r w:rsidR="00C74C29" w:rsidRPr="00BA784D">
        <w:rPr>
          <w:rFonts w:ascii="Times New Roman" w:eastAsia="Times New Roman" w:hAnsi="Times New Roman" w:cs="Times New Roman"/>
          <w:sz w:val="24"/>
          <w:szCs w:val="24"/>
        </w:rPr>
        <w:t xml:space="preserve"> 32</w:t>
      </w:r>
      <w:r w:rsidR="004F1FF4" w:rsidRPr="00BA784D">
        <w:rPr>
          <w:rFonts w:ascii="Times New Roman" w:eastAsia="Times New Roman" w:hAnsi="Times New Roman" w:cs="Times New Roman"/>
          <w:sz w:val="24"/>
          <w:szCs w:val="24"/>
        </w:rPr>
        <w:t xml:space="preserve"> </w:t>
      </w:r>
      <w:proofErr w:type="gramStart"/>
      <w:r w:rsidR="002207D1" w:rsidRPr="00BA784D">
        <w:rPr>
          <w:rFonts w:ascii="Times New Roman" w:eastAsia="Times New Roman" w:hAnsi="Times New Roman" w:cs="Times New Roman"/>
          <w:sz w:val="24"/>
          <w:szCs w:val="24"/>
        </w:rPr>
        <w:t>O</w:t>
      </w:r>
      <w:r w:rsidR="004F1FF4" w:rsidRPr="00BA784D">
        <w:rPr>
          <w:rFonts w:ascii="Times New Roman" w:eastAsia="Times New Roman" w:hAnsi="Times New Roman" w:cs="Times New Roman"/>
          <w:sz w:val="24"/>
          <w:szCs w:val="24"/>
        </w:rPr>
        <w:t>rgan</w:t>
      </w:r>
      <w:r w:rsidR="002207D1" w:rsidRPr="00BA784D">
        <w:rPr>
          <w:rFonts w:ascii="Times New Roman" w:eastAsia="Times New Roman" w:hAnsi="Times New Roman" w:cs="Times New Roman"/>
          <w:sz w:val="24"/>
          <w:szCs w:val="24"/>
        </w:rPr>
        <w:t>ismos</w:t>
      </w:r>
      <w:proofErr w:type="gramEnd"/>
      <w:r w:rsidR="004F1FF4" w:rsidRPr="00BA784D">
        <w:rPr>
          <w:rFonts w:ascii="Times New Roman" w:eastAsia="Times New Roman" w:hAnsi="Times New Roman" w:cs="Times New Roman"/>
          <w:sz w:val="24"/>
          <w:szCs w:val="24"/>
        </w:rPr>
        <w:t xml:space="preserve"> Garantes</w:t>
      </w:r>
      <w:r w:rsidR="00C74C29" w:rsidRPr="00BA784D">
        <w:rPr>
          <w:rFonts w:ascii="Times New Roman" w:eastAsia="Times New Roman" w:hAnsi="Times New Roman" w:cs="Times New Roman"/>
          <w:sz w:val="24"/>
          <w:szCs w:val="24"/>
        </w:rPr>
        <w:t xml:space="preserve"> Locales y el Instituto Nacional de Transparencia, Acceso a la Información y Protección de Datos Personales</w:t>
      </w:r>
      <w:r w:rsidR="008B209A" w:rsidRPr="00BA784D">
        <w:rPr>
          <w:rFonts w:ascii="Times New Roman" w:eastAsia="Times New Roman" w:hAnsi="Times New Roman" w:cs="Times New Roman"/>
          <w:sz w:val="24"/>
          <w:szCs w:val="24"/>
        </w:rPr>
        <w:t>;</w:t>
      </w:r>
    </w:p>
    <w:p w14:paraId="770AC337" w14:textId="5B53DACC" w:rsidR="00E35B30" w:rsidRPr="00BA784D" w:rsidRDefault="0036612A">
      <w:pPr>
        <w:widowControl/>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PCCAN: </w:t>
      </w:r>
      <w:r w:rsidRPr="00BA784D">
        <w:rPr>
          <w:rFonts w:ascii="Times New Roman" w:eastAsia="Times New Roman" w:hAnsi="Times New Roman" w:cs="Times New Roman"/>
          <w:sz w:val="24"/>
          <w:szCs w:val="24"/>
        </w:rPr>
        <w:t>Programa de Capacitación en Transparencia, Acceso a la Información, Protección de Datos Personales y Temas Relacionados con Alcance Nacional</w:t>
      </w:r>
      <w:r w:rsidR="008B209A" w:rsidRPr="00BA784D">
        <w:rPr>
          <w:rFonts w:ascii="Times New Roman" w:eastAsia="Times New Roman" w:hAnsi="Times New Roman" w:cs="Times New Roman"/>
          <w:sz w:val="24"/>
          <w:szCs w:val="24"/>
        </w:rPr>
        <w:t>;</w:t>
      </w:r>
    </w:p>
    <w:p w14:paraId="72F00153"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Personas del servicio público</w:t>
      </w:r>
      <w:r w:rsidRPr="00BA784D">
        <w:rPr>
          <w:rFonts w:ascii="Times New Roman" w:eastAsia="Times New Roman" w:hAnsi="Times New Roman" w:cs="Times New Roman"/>
          <w:sz w:val="24"/>
          <w:szCs w:val="24"/>
        </w:rPr>
        <w:t xml:space="preserve">: Las y los mencionados en el </w:t>
      </w:r>
      <w:proofErr w:type="spellStart"/>
      <w:r w:rsidRPr="00BA784D">
        <w:rPr>
          <w:rFonts w:ascii="Times New Roman" w:eastAsia="Times New Roman" w:hAnsi="Times New Roman" w:cs="Times New Roman"/>
          <w:sz w:val="24"/>
          <w:szCs w:val="24"/>
        </w:rPr>
        <w:t>párrafo</w:t>
      </w:r>
      <w:proofErr w:type="spellEnd"/>
      <w:r w:rsidRPr="00BA784D">
        <w:rPr>
          <w:rFonts w:ascii="Times New Roman" w:eastAsia="Times New Roman" w:hAnsi="Times New Roman" w:cs="Times New Roman"/>
          <w:sz w:val="24"/>
          <w:szCs w:val="24"/>
        </w:rPr>
        <w:t xml:space="preserve"> primero del </w:t>
      </w:r>
      <w:proofErr w:type="spellStart"/>
      <w:r w:rsidRPr="00BA784D">
        <w:rPr>
          <w:rFonts w:ascii="Times New Roman" w:eastAsia="Times New Roman" w:hAnsi="Times New Roman" w:cs="Times New Roman"/>
          <w:sz w:val="24"/>
          <w:szCs w:val="24"/>
        </w:rPr>
        <w:t>artículo</w:t>
      </w:r>
      <w:proofErr w:type="spellEnd"/>
      <w:r w:rsidRPr="00BA784D">
        <w:rPr>
          <w:rFonts w:ascii="Times New Roman" w:eastAsia="Times New Roman" w:hAnsi="Times New Roman" w:cs="Times New Roman"/>
          <w:sz w:val="24"/>
          <w:szCs w:val="24"/>
        </w:rPr>
        <w:t xml:space="preserve"> 108 de la </w:t>
      </w:r>
      <w:proofErr w:type="spellStart"/>
      <w:r w:rsidRPr="00BA784D">
        <w:rPr>
          <w:rFonts w:ascii="Times New Roman" w:eastAsia="Times New Roman" w:hAnsi="Times New Roman" w:cs="Times New Roman"/>
          <w:sz w:val="24"/>
          <w:szCs w:val="24"/>
        </w:rPr>
        <w:t>Constitución</w:t>
      </w:r>
      <w:proofErr w:type="spellEnd"/>
      <w:r w:rsidRPr="00BA784D">
        <w:rPr>
          <w:rFonts w:ascii="Times New Roman" w:eastAsia="Times New Roman" w:hAnsi="Times New Roman" w:cs="Times New Roman"/>
          <w:sz w:val="24"/>
          <w:szCs w:val="24"/>
        </w:rPr>
        <w:t xml:space="preserve"> </w:t>
      </w:r>
      <w:proofErr w:type="spellStart"/>
      <w:r w:rsidRPr="00BA784D">
        <w:rPr>
          <w:rFonts w:ascii="Times New Roman" w:eastAsia="Times New Roman" w:hAnsi="Times New Roman" w:cs="Times New Roman"/>
          <w:sz w:val="24"/>
          <w:szCs w:val="24"/>
        </w:rPr>
        <w:t>Política</w:t>
      </w:r>
      <w:proofErr w:type="spellEnd"/>
      <w:r w:rsidRPr="00BA784D">
        <w:rPr>
          <w:rFonts w:ascii="Times New Roman" w:eastAsia="Times New Roman" w:hAnsi="Times New Roman" w:cs="Times New Roman"/>
          <w:sz w:val="24"/>
          <w:szCs w:val="24"/>
        </w:rPr>
        <w:t xml:space="preserve"> de los Estados Unidos Mexicanos y sus correlativos de las Entidades Federativas y municipios que establezcan las Constituciones de los Estados;</w:t>
      </w:r>
      <w:r w:rsidRPr="00BA784D">
        <w:rPr>
          <w:rFonts w:ascii="Times New Roman" w:eastAsia="Times New Roman" w:hAnsi="Times New Roman" w:cs="Times New Roman"/>
          <w:sz w:val="24"/>
          <w:szCs w:val="24"/>
        </w:rPr>
        <w:tab/>
      </w:r>
    </w:p>
    <w:p w14:paraId="7C6FC02A" w14:textId="3AFDBE05"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Personas en situación de vulnerabilidad</w:t>
      </w:r>
      <w:r w:rsidRPr="00BA784D">
        <w:rPr>
          <w:rFonts w:ascii="Times New Roman" w:eastAsia="Times New Roman" w:hAnsi="Times New Roman" w:cs="Times New Roman"/>
          <w:sz w:val="24"/>
          <w:szCs w:val="24"/>
        </w:rPr>
        <w:t xml:space="preserve">: </w:t>
      </w:r>
      <w:proofErr w:type="spellStart"/>
      <w:r w:rsidRPr="00BA784D">
        <w:rPr>
          <w:rFonts w:ascii="Times New Roman" w:eastAsia="Times New Roman" w:hAnsi="Times New Roman" w:cs="Times New Roman"/>
          <w:sz w:val="24"/>
          <w:szCs w:val="24"/>
        </w:rPr>
        <w:t>Núcleos</w:t>
      </w:r>
      <w:proofErr w:type="spellEnd"/>
      <w:r w:rsidRPr="00BA784D">
        <w:rPr>
          <w:rFonts w:ascii="Times New Roman" w:eastAsia="Times New Roman" w:hAnsi="Times New Roman" w:cs="Times New Roman"/>
          <w:sz w:val="24"/>
          <w:szCs w:val="24"/>
        </w:rPr>
        <w:t xml:space="preserve"> de </w:t>
      </w:r>
      <w:proofErr w:type="spellStart"/>
      <w:r w:rsidRPr="00BA784D">
        <w:rPr>
          <w:rFonts w:ascii="Times New Roman" w:eastAsia="Times New Roman" w:hAnsi="Times New Roman" w:cs="Times New Roman"/>
          <w:sz w:val="24"/>
          <w:szCs w:val="24"/>
        </w:rPr>
        <w:t>población</w:t>
      </w:r>
      <w:proofErr w:type="spellEnd"/>
      <w:r w:rsidRPr="00BA784D">
        <w:rPr>
          <w:rFonts w:ascii="Times New Roman" w:eastAsia="Times New Roman" w:hAnsi="Times New Roman" w:cs="Times New Roman"/>
          <w:sz w:val="24"/>
          <w:szCs w:val="24"/>
        </w:rPr>
        <w:t xml:space="preserve"> y/o personas que, por </w:t>
      </w:r>
      <w:r w:rsidRPr="00BA784D">
        <w:rPr>
          <w:rFonts w:ascii="Times New Roman" w:eastAsia="Times New Roman" w:hAnsi="Times New Roman" w:cs="Times New Roman"/>
          <w:sz w:val="24"/>
          <w:szCs w:val="24"/>
        </w:rPr>
        <w:lastRenderedPageBreak/>
        <w:t xml:space="preserve">diferentes factores o la combinación de ellos, enfrentan situaciones de riesgo o </w:t>
      </w:r>
      <w:proofErr w:type="spellStart"/>
      <w:r w:rsidRPr="00BA784D">
        <w:rPr>
          <w:rFonts w:ascii="Times New Roman" w:eastAsia="Times New Roman" w:hAnsi="Times New Roman" w:cs="Times New Roman"/>
          <w:sz w:val="24"/>
          <w:szCs w:val="24"/>
        </w:rPr>
        <w:t>discriminación</w:t>
      </w:r>
      <w:proofErr w:type="spellEnd"/>
      <w:r w:rsidRPr="00BA784D">
        <w:rPr>
          <w:rFonts w:ascii="Times New Roman" w:eastAsia="Times New Roman" w:hAnsi="Times New Roman" w:cs="Times New Roman"/>
          <w:sz w:val="24"/>
          <w:szCs w:val="24"/>
        </w:rPr>
        <w:t xml:space="preserve"> que les impiden ejercer, en igualdad de condiciones, los derechos humanos de acceso a la información, y, por lo tanto, requieren de la </w:t>
      </w:r>
      <w:proofErr w:type="spellStart"/>
      <w:r w:rsidRPr="00BA784D">
        <w:rPr>
          <w:rFonts w:ascii="Times New Roman" w:eastAsia="Times New Roman" w:hAnsi="Times New Roman" w:cs="Times New Roman"/>
          <w:sz w:val="24"/>
          <w:szCs w:val="24"/>
        </w:rPr>
        <w:t>atención</w:t>
      </w:r>
      <w:proofErr w:type="spellEnd"/>
      <w:r w:rsidRPr="00BA784D">
        <w:rPr>
          <w:rFonts w:ascii="Times New Roman" w:eastAsia="Times New Roman" w:hAnsi="Times New Roman" w:cs="Times New Roman"/>
          <w:sz w:val="24"/>
          <w:szCs w:val="24"/>
        </w:rPr>
        <w:t xml:space="preserve"> e </w:t>
      </w:r>
      <w:proofErr w:type="spellStart"/>
      <w:r w:rsidRPr="00BA784D">
        <w:rPr>
          <w:rFonts w:ascii="Times New Roman" w:eastAsia="Times New Roman" w:hAnsi="Times New Roman" w:cs="Times New Roman"/>
          <w:sz w:val="24"/>
          <w:szCs w:val="24"/>
        </w:rPr>
        <w:t>implementación</w:t>
      </w:r>
      <w:proofErr w:type="spellEnd"/>
      <w:r w:rsidRPr="00BA784D">
        <w:rPr>
          <w:rFonts w:ascii="Times New Roman" w:eastAsia="Times New Roman" w:hAnsi="Times New Roman" w:cs="Times New Roman"/>
          <w:sz w:val="24"/>
          <w:szCs w:val="24"/>
        </w:rPr>
        <w:t xml:space="preserve"> de acciones, medidas y </w:t>
      </w:r>
      <w:proofErr w:type="spellStart"/>
      <w:r w:rsidRPr="00BA784D">
        <w:rPr>
          <w:rFonts w:ascii="Times New Roman" w:eastAsia="Times New Roman" w:hAnsi="Times New Roman" w:cs="Times New Roman"/>
          <w:sz w:val="24"/>
          <w:szCs w:val="24"/>
        </w:rPr>
        <w:t>políticas</w:t>
      </w:r>
      <w:proofErr w:type="spellEnd"/>
      <w:r w:rsidRPr="00BA784D">
        <w:rPr>
          <w:rFonts w:ascii="Times New Roman" w:eastAsia="Times New Roman" w:hAnsi="Times New Roman" w:cs="Times New Roman"/>
          <w:sz w:val="24"/>
          <w:szCs w:val="24"/>
        </w:rPr>
        <w:t xml:space="preserve"> por parte de los sujetos obligados. Entre </w:t>
      </w:r>
      <w:proofErr w:type="spellStart"/>
      <w:r w:rsidRPr="00BA784D">
        <w:rPr>
          <w:rFonts w:ascii="Times New Roman" w:eastAsia="Times New Roman" w:hAnsi="Times New Roman" w:cs="Times New Roman"/>
          <w:sz w:val="24"/>
          <w:szCs w:val="24"/>
        </w:rPr>
        <w:t>éstos</w:t>
      </w:r>
      <w:proofErr w:type="spellEnd"/>
      <w:r w:rsidRPr="00BA784D">
        <w:rPr>
          <w:rFonts w:ascii="Times New Roman" w:eastAsia="Times New Roman" w:hAnsi="Times New Roman" w:cs="Times New Roman"/>
          <w:sz w:val="24"/>
          <w:szCs w:val="24"/>
        </w:rPr>
        <w:t xml:space="preserve"> se encuentran las personas pertenecientes a los pueblos </w:t>
      </w:r>
      <w:proofErr w:type="spellStart"/>
      <w:r w:rsidRPr="00BA784D">
        <w:rPr>
          <w:rFonts w:ascii="Times New Roman" w:eastAsia="Times New Roman" w:hAnsi="Times New Roman" w:cs="Times New Roman"/>
          <w:sz w:val="24"/>
          <w:szCs w:val="24"/>
        </w:rPr>
        <w:t>indígenas</w:t>
      </w:r>
      <w:proofErr w:type="spellEnd"/>
      <w:r w:rsidRPr="00BA784D">
        <w:rPr>
          <w:rFonts w:ascii="Times New Roman" w:eastAsia="Times New Roman" w:hAnsi="Times New Roman" w:cs="Times New Roman"/>
          <w:sz w:val="24"/>
          <w:szCs w:val="24"/>
        </w:rPr>
        <w:t xml:space="preserve">, afrodescendientes, personas con discapacidad, mujeres en situación de vulnerabilidad, </w:t>
      </w:r>
      <w:proofErr w:type="spellStart"/>
      <w:r w:rsidRPr="00BA784D">
        <w:rPr>
          <w:rFonts w:ascii="Times New Roman" w:eastAsia="Times New Roman" w:hAnsi="Times New Roman" w:cs="Times New Roman"/>
          <w:sz w:val="24"/>
          <w:szCs w:val="24"/>
        </w:rPr>
        <w:t>niñas</w:t>
      </w:r>
      <w:proofErr w:type="spellEnd"/>
      <w:r w:rsidRPr="00BA784D">
        <w:rPr>
          <w:rFonts w:ascii="Times New Roman" w:eastAsia="Times New Roman" w:hAnsi="Times New Roman" w:cs="Times New Roman"/>
          <w:sz w:val="24"/>
          <w:szCs w:val="24"/>
        </w:rPr>
        <w:t xml:space="preserve">, </w:t>
      </w:r>
      <w:proofErr w:type="spellStart"/>
      <w:r w:rsidRPr="00BA784D">
        <w:rPr>
          <w:rFonts w:ascii="Times New Roman" w:eastAsia="Times New Roman" w:hAnsi="Times New Roman" w:cs="Times New Roman"/>
          <w:sz w:val="24"/>
          <w:szCs w:val="24"/>
        </w:rPr>
        <w:t>niños</w:t>
      </w:r>
      <w:proofErr w:type="spellEnd"/>
      <w:r w:rsidRPr="00BA784D">
        <w:rPr>
          <w:rFonts w:ascii="Times New Roman" w:eastAsia="Times New Roman" w:hAnsi="Times New Roman" w:cs="Times New Roman"/>
          <w:sz w:val="24"/>
          <w:szCs w:val="24"/>
        </w:rPr>
        <w:t>, adolescentes, personas adultas mayores, migrantes y personas en situación de pobreza</w:t>
      </w:r>
      <w:r w:rsidR="008B209A"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 xml:space="preserve"> </w:t>
      </w:r>
    </w:p>
    <w:p w14:paraId="662C0491" w14:textId="336F8D99"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Perspectiva de género: </w:t>
      </w:r>
      <w:r w:rsidR="008B209A" w:rsidRPr="00BA784D">
        <w:rPr>
          <w:rFonts w:ascii="Times New Roman" w:eastAsia="Times New Roman" w:hAnsi="Times New Roman" w:cs="Times New Roman"/>
          <w:sz w:val="24"/>
          <w:szCs w:val="24"/>
        </w:rPr>
        <w:t>C</w:t>
      </w:r>
      <w:r w:rsidRPr="00BA784D">
        <w:rPr>
          <w:rFonts w:ascii="Times New Roman" w:eastAsia="Times New Roman" w:hAnsi="Times New Roman" w:cs="Times New Roman"/>
          <w:sz w:val="24"/>
          <w:szCs w:val="24"/>
        </w:rPr>
        <w:t xml:space="preserve">oncepto que se refiere a la </w:t>
      </w:r>
      <w:proofErr w:type="spellStart"/>
      <w:r w:rsidRPr="00BA784D">
        <w:rPr>
          <w:rFonts w:ascii="Times New Roman" w:eastAsia="Times New Roman" w:hAnsi="Times New Roman" w:cs="Times New Roman"/>
          <w:sz w:val="24"/>
          <w:szCs w:val="24"/>
        </w:rPr>
        <w:t>metodología</w:t>
      </w:r>
      <w:proofErr w:type="spellEnd"/>
      <w:r w:rsidRPr="00BA784D">
        <w:rPr>
          <w:rFonts w:ascii="Times New Roman" w:eastAsia="Times New Roman" w:hAnsi="Times New Roman" w:cs="Times New Roman"/>
          <w:sz w:val="24"/>
          <w:szCs w:val="24"/>
        </w:rPr>
        <w:t xml:space="preserve"> y los mecanismos que permiten identificar, cuestionar y valorar la </w:t>
      </w:r>
      <w:proofErr w:type="spellStart"/>
      <w:r w:rsidRPr="00BA784D">
        <w:rPr>
          <w:rFonts w:ascii="Times New Roman" w:eastAsia="Times New Roman" w:hAnsi="Times New Roman" w:cs="Times New Roman"/>
          <w:sz w:val="24"/>
          <w:szCs w:val="24"/>
        </w:rPr>
        <w:t>discriminación</w:t>
      </w:r>
      <w:proofErr w:type="spellEnd"/>
      <w:r w:rsidRPr="00BA784D">
        <w:rPr>
          <w:rFonts w:ascii="Times New Roman" w:eastAsia="Times New Roman" w:hAnsi="Times New Roman" w:cs="Times New Roman"/>
          <w:sz w:val="24"/>
          <w:szCs w:val="24"/>
        </w:rPr>
        <w:t xml:space="preserve">, desigualdad y </w:t>
      </w:r>
      <w:proofErr w:type="spellStart"/>
      <w:r w:rsidRPr="00BA784D">
        <w:rPr>
          <w:rFonts w:ascii="Times New Roman" w:eastAsia="Times New Roman" w:hAnsi="Times New Roman" w:cs="Times New Roman"/>
          <w:sz w:val="24"/>
          <w:szCs w:val="24"/>
        </w:rPr>
        <w:t>exclusión</w:t>
      </w:r>
      <w:proofErr w:type="spellEnd"/>
      <w:r w:rsidRPr="00BA784D">
        <w:rPr>
          <w:rFonts w:ascii="Times New Roman" w:eastAsia="Times New Roman" w:hAnsi="Times New Roman" w:cs="Times New Roman"/>
          <w:sz w:val="24"/>
          <w:szCs w:val="24"/>
        </w:rPr>
        <w:t xml:space="preserve"> de las mujeres, que se pretende justificar con base en las diferencias </w:t>
      </w:r>
      <w:proofErr w:type="spellStart"/>
      <w:r w:rsidRPr="00BA784D">
        <w:rPr>
          <w:rFonts w:ascii="Times New Roman" w:eastAsia="Times New Roman" w:hAnsi="Times New Roman" w:cs="Times New Roman"/>
          <w:sz w:val="24"/>
          <w:szCs w:val="24"/>
        </w:rPr>
        <w:t>biológicas</w:t>
      </w:r>
      <w:proofErr w:type="spellEnd"/>
      <w:r w:rsidRPr="00BA784D">
        <w:rPr>
          <w:rFonts w:ascii="Times New Roman" w:eastAsia="Times New Roman" w:hAnsi="Times New Roman" w:cs="Times New Roman"/>
          <w:sz w:val="24"/>
          <w:szCs w:val="24"/>
        </w:rPr>
        <w:t xml:space="preserve"> entre mujeres y hombres, </w:t>
      </w:r>
      <w:proofErr w:type="spellStart"/>
      <w:r w:rsidRPr="00BA784D">
        <w:rPr>
          <w:rFonts w:ascii="Times New Roman" w:eastAsia="Times New Roman" w:hAnsi="Times New Roman" w:cs="Times New Roman"/>
          <w:sz w:val="24"/>
          <w:szCs w:val="24"/>
        </w:rPr>
        <w:t>asi</w:t>
      </w:r>
      <w:proofErr w:type="spellEnd"/>
      <w:r w:rsidRPr="00BA784D">
        <w:rPr>
          <w:rFonts w:ascii="Times New Roman" w:eastAsia="Times New Roman" w:hAnsi="Times New Roman" w:cs="Times New Roman"/>
          <w:sz w:val="24"/>
          <w:szCs w:val="24"/>
        </w:rPr>
        <w:t xml:space="preserve">́ como las acciones que deben emprenderse para actuar sobre los factores de </w:t>
      </w:r>
      <w:proofErr w:type="spellStart"/>
      <w:r w:rsidRPr="00BA784D">
        <w:rPr>
          <w:rFonts w:ascii="Times New Roman" w:eastAsia="Times New Roman" w:hAnsi="Times New Roman" w:cs="Times New Roman"/>
          <w:sz w:val="24"/>
          <w:szCs w:val="24"/>
        </w:rPr>
        <w:t>género</w:t>
      </w:r>
      <w:proofErr w:type="spellEnd"/>
      <w:r w:rsidRPr="00BA784D">
        <w:rPr>
          <w:rFonts w:ascii="Times New Roman" w:eastAsia="Times New Roman" w:hAnsi="Times New Roman" w:cs="Times New Roman"/>
          <w:sz w:val="24"/>
          <w:szCs w:val="24"/>
        </w:rPr>
        <w:t xml:space="preserve"> y crear las condiciones de cambio que permitan avanzar en la </w:t>
      </w:r>
      <w:proofErr w:type="spellStart"/>
      <w:r w:rsidRPr="00BA784D">
        <w:rPr>
          <w:rFonts w:ascii="Times New Roman" w:eastAsia="Times New Roman" w:hAnsi="Times New Roman" w:cs="Times New Roman"/>
          <w:sz w:val="24"/>
          <w:szCs w:val="24"/>
        </w:rPr>
        <w:t>construcción</w:t>
      </w:r>
      <w:proofErr w:type="spellEnd"/>
      <w:r w:rsidRPr="00BA784D">
        <w:rPr>
          <w:rFonts w:ascii="Times New Roman" w:eastAsia="Times New Roman" w:hAnsi="Times New Roman" w:cs="Times New Roman"/>
          <w:sz w:val="24"/>
          <w:szCs w:val="24"/>
        </w:rPr>
        <w:t xml:space="preserve"> de la igualdad de género;</w:t>
      </w:r>
    </w:p>
    <w:p w14:paraId="41B80B83" w14:textId="77777777"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Plataforma Nacional</w:t>
      </w:r>
      <w:r w:rsidRPr="00BA784D">
        <w:rPr>
          <w:rFonts w:ascii="Times New Roman" w:eastAsia="Times New Roman" w:hAnsi="Times New Roman" w:cs="Times New Roman"/>
          <w:sz w:val="24"/>
          <w:szCs w:val="24"/>
        </w:rPr>
        <w:t xml:space="preserve">: La Plataforma Nacional de Transparencia a que hace referencia el </w:t>
      </w:r>
      <w:proofErr w:type="spellStart"/>
      <w:r w:rsidRPr="00BA784D">
        <w:rPr>
          <w:rFonts w:ascii="Times New Roman" w:eastAsia="Times New Roman" w:hAnsi="Times New Roman" w:cs="Times New Roman"/>
          <w:sz w:val="24"/>
          <w:szCs w:val="24"/>
        </w:rPr>
        <w:t>artículo</w:t>
      </w:r>
      <w:proofErr w:type="spellEnd"/>
      <w:r w:rsidRPr="00BA784D">
        <w:rPr>
          <w:rFonts w:ascii="Times New Roman" w:eastAsia="Times New Roman" w:hAnsi="Times New Roman" w:cs="Times New Roman"/>
          <w:sz w:val="24"/>
          <w:szCs w:val="24"/>
        </w:rPr>
        <w:t xml:space="preserve"> 49 de la Ley General de Transparencia y Acceso a la Información Pública;</w:t>
      </w:r>
    </w:p>
    <w:p w14:paraId="4C9E7C74" w14:textId="599800DF" w:rsidR="00E35B30" w:rsidRPr="00BA784D" w:rsidRDefault="0036612A">
      <w:pPr>
        <w:widowControl/>
        <w:spacing w:before="200"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PROSEDE</w:t>
      </w:r>
      <w:r w:rsidRPr="00BA784D">
        <w:rPr>
          <w:rFonts w:ascii="Times New Roman" w:eastAsia="Times New Roman" w:hAnsi="Times New Roman" w:cs="Times New Roman"/>
          <w:sz w:val="24"/>
          <w:szCs w:val="24"/>
        </w:rPr>
        <w:t>: Programa de Sensibilización de Derechos</w:t>
      </w:r>
      <w:r w:rsidR="008B209A" w:rsidRPr="00BA784D">
        <w:rPr>
          <w:rFonts w:ascii="Times New Roman" w:eastAsia="Times New Roman" w:hAnsi="Times New Roman" w:cs="Times New Roman"/>
          <w:sz w:val="24"/>
          <w:szCs w:val="24"/>
        </w:rPr>
        <w:t>;</w:t>
      </w:r>
    </w:p>
    <w:p w14:paraId="77193C23" w14:textId="37664022" w:rsidR="00E35B30" w:rsidRPr="00BA784D" w:rsidRDefault="0036612A">
      <w:pPr>
        <w:spacing w:before="280" w:line="360" w:lineRule="auto"/>
        <w:ind w:right="120"/>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Red USOC: </w:t>
      </w:r>
      <w:r w:rsidRPr="00BA784D">
        <w:rPr>
          <w:rFonts w:ascii="Times New Roman" w:eastAsia="Times New Roman" w:hAnsi="Times New Roman" w:cs="Times New Roman"/>
          <w:sz w:val="24"/>
          <w:szCs w:val="24"/>
        </w:rPr>
        <w:t>Red por la Utilidad Social de los Derechos de Acceso a la Información y Protección de Datos Personales</w:t>
      </w:r>
      <w:r w:rsidR="008B209A" w:rsidRPr="00BA784D">
        <w:rPr>
          <w:rFonts w:ascii="Times New Roman" w:eastAsia="Times New Roman" w:hAnsi="Times New Roman" w:cs="Times New Roman"/>
          <w:sz w:val="24"/>
          <w:szCs w:val="24"/>
        </w:rPr>
        <w:t>;</w:t>
      </w:r>
    </w:p>
    <w:p w14:paraId="1E250E4B" w14:textId="77777777" w:rsidR="00E35B30" w:rsidRPr="00BA784D" w:rsidRDefault="00E35B30">
      <w:pPr>
        <w:spacing w:line="360" w:lineRule="auto"/>
        <w:jc w:val="both"/>
        <w:rPr>
          <w:rFonts w:ascii="Times New Roman" w:eastAsia="Times New Roman" w:hAnsi="Times New Roman" w:cs="Times New Roman"/>
          <w:sz w:val="24"/>
          <w:szCs w:val="24"/>
        </w:rPr>
      </w:pPr>
    </w:p>
    <w:p w14:paraId="0EA2053A" w14:textId="77777777" w:rsidR="00E35B30" w:rsidRPr="00BA784D" w:rsidRDefault="0036612A">
      <w:pPr>
        <w:spacing w:after="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Rendición de Cuentas: </w:t>
      </w:r>
      <w:r w:rsidRPr="00BA784D">
        <w:rPr>
          <w:rFonts w:ascii="Times New Roman" w:eastAsia="Times New Roman" w:hAnsi="Times New Roman" w:cs="Times New Roman"/>
          <w:sz w:val="24"/>
          <w:szCs w:val="24"/>
        </w:rPr>
        <w:t xml:space="preserve">Relación entre dos actores (A y B), en la que A está formalmente obligado a informar, explicar y justificar su conducta a B (con respecto a un asunto R). En esta </w:t>
      </w:r>
      <w:proofErr w:type="spellStart"/>
      <w:r w:rsidRPr="00BA784D">
        <w:rPr>
          <w:rFonts w:ascii="Times New Roman" w:eastAsia="Times New Roman" w:hAnsi="Times New Roman" w:cs="Times New Roman"/>
          <w:sz w:val="24"/>
          <w:szCs w:val="24"/>
        </w:rPr>
        <w:t>relación</w:t>
      </w:r>
      <w:proofErr w:type="spellEnd"/>
      <w:r w:rsidRPr="00BA784D">
        <w:rPr>
          <w:rFonts w:ascii="Times New Roman" w:eastAsia="Times New Roman" w:hAnsi="Times New Roman" w:cs="Times New Roman"/>
          <w:sz w:val="24"/>
          <w:szCs w:val="24"/>
        </w:rPr>
        <w:t>, B tiene la facultad de examinar la conducta de A (con respecto a R) y cuenta con instrumentos para vigilarlo e incidir en su comportamiento —vía sanciones o incentivos;</w:t>
      </w:r>
    </w:p>
    <w:p w14:paraId="78AF3B76" w14:textId="53477EED"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Ruta de Implementación</w:t>
      </w:r>
      <w:r w:rsidRPr="00BA784D">
        <w:rPr>
          <w:rFonts w:ascii="Times New Roman" w:eastAsia="Times New Roman" w:hAnsi="Times New Roman" w:cs="Times New Roman"/>
          <w:sz w:val="24"/>
          <w:szCs w:val="24"/>
        </w:rPr>
        <w:t>: Mecanismo técnico que describe las actividades de l</w:t>
      </w:r>
      <w:r w:rsidR="000C56F7" w:rsidRPr="00BA784D">
        <w:rPr>
          <w:rFonts w:ascii="Times New Roman" w:eastAsia="Times New Roman" w:hAnsi="Times New Roman" w:cs="Times New Roman"/>
          <w:sz w:val="24"/>
          <w:szCs w:val="24"/>
        </w:rPr>
        <w:t>a</w:t>
      </w:r>
      <w:r w:rsidRPr="00BA784D">
        <w:rPr>
          <w:rFonts w:ascii="Times New Roman" w:eastAsia="Times New Roman" w:hAnsi="Times New Roman" w:cs="Times New Roman"/>
          <w:sz w:val="24"/>
          <w:szCs w:val="24"/>
        </w:rPr>
        <w:t>s</w:t>
      </w:r>
      <w:r w:rsidR="000C56F7" w:rsidRPr="00BA784D">
        <w:rPr>
          <w:rFonts w:ascii="Times New Roman" w:eastAsia="Times New Roman" w:hAnsi="Times New Roman" w:cs="Times New Roman"/>
          <w:sz w:val="24"/>
          <w:szCs w:val="24"/>
        </w:rPr>
        <w:t xml:space="preserve"> instituciones</w:t>
      </w:r>
      <w:r w:rsidRPr="00BA784D">
        <w:rPr>
          <w:rFonts w:ascii="Times New Roman" w:eastAsia="Times New Roman" w:hAnsi="Times New Roman" w:cs="Times New Roman"/>
          <w:sz w:val="24"/>
          <w:szCs w:val="24"/>
        </w:rPr>
        <w:t xml:space="preserve"> </w:t>
      </w:r>
      <w:r w:rsidR="000C56F7" w:rsidRPr="00BA784D">
        <w:rPr>
          <w:rFonts w:ascii="Times New Roman" w:eastAsia="Times New Roman" w:hAnsi="Times New Roman" w:cs="Times New Roman"/>
          <w:sz w:val="24"/>
          <w:szCs w:val="24"/>
        </w:rPr>
        <w:t>i</w:t>
      </w:r>
      <w:r w:rsidRPr="00BA784D">
        <w:rPr>
          <w:rFonts w:ascii="Times New Roman" w:eastAsia="Times New Roman" w:hAnsi="Times New Roman" w:cs="Times New Roman"/>
          <w:sz w:val="24"/>
          <w:szCs w:val="24"/>
        </w:rPr>
        <w:t xml:space="preserve">ntegrantes del SNT para el Programa Nacional, a partir de sus Programas Anuales o sus procesos de </w:t>
      </w:r>
      <w:proofErr w:type="spellStart"/>
      <w:r w:rsidRPr="00BA784D">
        <w:rPr>
          <w:rFonts w:ascii="Times New Roman" w:eastAsia="Times New Roman" w:hAnsi="Times New Roman" w:cs="Times New Roman"/>
          <w:sz w:val="24"/>
          <w:szCs w:val="24"/>
        </w:rPr>
        <w:t>planeación</w:t>
      </w:r>
      <w:proofErr w:type="spellEnd"/>
      <w:r w:rsidRPr="00BA784D">
        <w:rPr>
          <w:rFonts w:ascii="Times New Roman" w:eastAsia="Times New Roman" w:hAnsi="Times New Roman" w:cs="Times New Roman"/>
          <w:sz w:val="24"/>
          <w:szCs w:val="24"/>
        </w:rPr>
        <w:t xml:space="preserve"> institucional;</w:t>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p>
    <w:p w14:paraId="75892350" w14:textId="57313A6D" w:rsidR="00E35B30" w:rsidRPr="00BA784D" w:rsidRDefault="0036612A">
      <w:pPr>
        <w:spacing w:before="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 xml:space="preserve">SIPOT: </w:t>
      </w:r>
      <w:r w:rsidRPr="00BA784D">
        <w:rPr>
          <w:rFonts w:ascii="Times New Roman" w:eastAsia="Times New Roman" w:hAnsi="Times New Roman" w:cs="Times New Roman"/>
          <w:sz w:val="24"/>
          <w:szCs w:val="24"/>
        </w:rPr>
        <w:t>Sistema de Portales de Obligaciones de Transparencia;</w:t>
      </w:r>
    </w:p>
    <w:p w14:paraId="291CA13C" w14:textId="169B53B9" w:rsidR="00E35B30" w:rsidRPr="00BA784D" w:rsidRDefault="0036612A">
      <w:pPr>
        <w:spacing w:before="280" w:line="360" w:lineRule="auto"/>
        <w:ind w:right="120"/>
        <w:jc w:val="both"/>
        <w:rPr>
          <w:rFonts w:ascii="Times New Roman" w:eastAsia="Times New Roman" w:hAnsi="Times New Roman" w:cs="Times New Roman"/>
          <w:b/>
          <w:sz w:val="24"/>
          <w:szCs w:val="24"/>
        </w:rPr>
      </w:pPr>
      <w:r w:rsidRPr="00BA784D">
        <w:rPr>
          <w:rFonts w:ascii="Times New Roman" w:eastAsia="Times New Roman" w:hAnsi="Times New Roman" w:cs="Times New Roman"/>
          <w:b/>
          <w:sz w:val="24"/>
          <w:szCs w:val="24"/>
        </w:rPr>
        <w:lastRenderedPageBreak/>
        <w:t>SNT</w:t>
      </w:r>
      <w:r w:rsidRPr="00BA784D">
        <w:rPr>
          <w:rFonts w:ascii="Times New Roman" w:eastAsia="Times New Roman" w:hAnsi="Times New Roman" w:cs="Times New Roman"/>
          <w:sz w:val="24"/>
          <w:szCs w:val="24"/>
        </w:rPr>
        <w:t>: Sistema Nacional de Transparencia, Acceso a la Información Pública y de Protección de Datos Personales</w:t>
      </w:r>
      <w:r w:rsidR="008B209A" w:rsidRPr="00BA784D">
        <w:rPr>
          <w:rFonts w:ascii="Times New Roman" w:eastAsia="Times New Roman" w:hAnsi="Times New Roman" w:cs="Times New Roman"/>
          <w:sz w:val="24"/>
          <w:szCs w:val="24"/>
        </w:rPr>
        <w:t>;</w:t>
      </w:r>
    </w:p>
    <w:p w14:paraId="4A62474C" w14:textId="77777777" w:rsidR="00E35B30" w:rsidRPr="00BA784D" w:rsidRDefault="0036612A">
      <w:pPr>
        <w:spacing w:before="240" w:after="24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Solicitudes de información</w:t>
      </w:r>
      <w:r w:rsidRPr="00BA784D">
        <w:rPr>
          <w:rFonts w:ascii="Times New Roman" w:eastAsia="Times New Roman" w:hAnsi="Times New Roman" w:cs="Times New Roman"/>
          <w:sz w:val="24"/>
          <w:szCs w:val="24"/>
        </w:rPr>
        <w:t xml:space="preserve">: El formato impreso, </w:t>
      </w:r>
      <w:proofErr w:type="spellStart"/>
      <w:r w:rsidRPr="00BA784D">
        <w:rPr>
          <w:rFonts w:ascii="Times New Roman" w:eastAsia="Times New Roman" w:hAnsi="Times New Roman" w:cs="Times New Roman"/>
          <w:sz w:val="24"/>
          <w:szCs w:val="24"/>
        </w:rPr>
        <w:t>electrónico</w:t>
      </w:r>
      <w:proofErr w:type="spellEnd"/>
      <w:r w:rsidRPr="00BA784D">
        <w:rPr>
          <w:rFonts w:ascii="Times New Roman" w:eastAsia="Times New Roman" w:hAnsi="Times New Roman" w:cs="Times New Roman"/>
          <w:sz w:val="24"/>
          <w:szCs w:val="24"/>
        </w:rPr>
        <w:t xml:space="preserve"> o escrito libre que utilizan los solicitantes para describir los contenidos a los que desean tener acceso;</w:t>
      </w:r>
    </w:p>
    <w:p w14:paraId="375619E8" w14:textId="54E4460E" w:rsidR="00E35B30" w:rsidRPr="00BA784D" w:rsidRDefault="0036612A">
      <w:pPr>
        <w:spacing w:before="240" w:after="24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Sujetos obligados</w:t>
      </w:r>
      <w:r w:rsidRPr="00BA784D">
        <w:rPr>
          <w:rFonts w:ascii="Times New Roman" w:eastAsia="Times New Roman" w:hAnsi="Times New Roman" w:cs="Times New Roman"/>
          <w:sz w:val="24"/>
          <w:szCs w:val="24"/>
        </w:rPr>
        <w:t xml:space="preserve">: Cualquier autoridad, entidad, </w:t>
      </w:r>
      <w:proofErr w:type="spellStart"/>
      <w:r w:rsidRPr="00BA784D">
        <w:rPr>
          <w:rFonts w:ascii="Times New Roman" w:eastAsia="Times New Roman" w:hAnsi="Times New Roman" w:cs="Times New Roman"/>
          <w:sz w:val="24"/>
          <w:szCs w:val="24"/>
        </w:rPr>
        <w:t>órgano</w:t>
      </w:r>
      <w:proofErr w:type="spellEnd"/>
      <w:r w:rsidRPr="00BA784D">
        <w:rPr>
          <w:rFonts w:ascii="Times New Roman" w:eastAsia="Times New Roman" w:hAnsi="Times New Roman" w:cs="Times New Roman"/>
          <w:sz w:val="24"/>
          <w:szCs w:val="24"/>
        </w:rPr>
        <w:t xml:space="preserve"> y organismo de los poderes Ejecutivo, Legislativo y Judicial, </w:t>
      </w:r>
      <w:proofErr w:type="spellStart"/>
      <w:r w:rsidRPr="00BA784D">
        <w:rPr>
          <w:rFonts w:ascii="Times New Roman" w:eastAsia="Times New Roman" w:hAnsi="Times New Roman" w:cs="Times New Roman"/>
          <w:sz w:val="24"/>
          <w:szCs w:val="24"/>
        </w:rPr>
        <w:t>órganos</w:t>
      </w:r>
      <w:proofErr w:type="spellEnd"/>
      <w:r w:rsidRPr="00BA784D">
        <w:rPr>
          <w:rFonts w:ascii="Times New Roman" w:eastAsia="Times New Roman" w:hAnsi="Times New Roman" w:cs="Times New Roman"/>
          <w:sz w:val="24"/>
          <w:szCs w:val="24"/>
        </w:rPr>
        <w:t xml:space="preserve"> </w:t>
      </w:r>
      <w:proofErr w:type="spellStart"/>
      <w:r w:rsidRPr="00BA784D">
        <w:rPr>
          <w:rFonts w:ascii="Times New Roman" w:eastAsia="Times New Roman" w:hAnsi="Times New Roman" w:cs="Times New Roman"/>
          <w:sz w:val="24"/>
          <w:szCs w:val="24"/>
        </w:rPr>
        <w:t>autónomos</w:t>
      </w:r>
      <w:proofErr w:type="spellEnd"/>
      <w:r w:rsidRPr="00BA784D">
        <w:rPr>
          <w:rFonts w:ascii="Times New Roman" w:eastAsia="Times New Roman" w:hAnsi="Times New Roman" w:cs="Times New Roman"/>
          <w:sz w:val="24"/>
          <w:szCs w:val="24"/>
        </w:rPr>
        <w:t xml:space="preserve">, partidos </w:t>
      </w:r>
      <w:proofErr w:type="spellStart"/>
      <w:r w:rsidRPr="00BA784D">
        <w:rPr>
          <w:rFonts w:ascii="Times New Roman" w:eastAsia="Times New Roman" w:hAnsi="Times New Roman" w:cs="Times New Roman"/>
          <w:sz w:val="24"/>
          <w:szCs w:val="24"/>
        </w:rPr>
        <w:t>políticos</w:t>
      </w:r>
      <w:proofErr w:type="spellEnd"/>
      <w:r w:rsidRPr="00BA784D">
        <w:rPr>
          <w:rFonts w:ascii="Times New Roman" w:eastAsia="Times New Roman" w:hAnsi="Times New Roman" w:cs="Times New Roman"/>
          <w:sz w:val="24"/>
          <w:szCs w:val="24"/>
        </w:rPr>
        <w:t xml:space="preserve">, fideicomisos y fondos </w:t>
      </w:r>
      <w:proofErr w:type="spellStart"/>
      <w:r w:rsidRPr="00BA784D">
        <w:rPr>
          <w:rFonts w:ascii="Times New Roman" w:eastAsia="Times New Roman" w:hAnsi="Times New Roman" w:cs="Times New Roman"/>
          <w:sz w:val="24"/>
          <w:szCs w:val="24"/>
        </w:rPr>
        <w:t>públicos</w:t>
      </w:r>
      <w:proofErr w:type="spellEnd"/>
      <w:r w:rsidRPr="00BA784D">
        <w:rPr>
          <w:rFonts w:ascii="Times New Roman" w:eastAsia="Times New Roman" w:hAnsi="Times New Roman" w:cs="Times New Roman"/>
          <w:sz w:val="24"/>
          <w:szCs w:val="24"/>
        </w:rPr>
        <w:t xml:space="preserve">, </w:t>
      </w:r>
      <w:proofErr w:type="spellStart"/>
      <w:r w:rsidRPr="00BA784D">
        <w:rPr>
          <w:rFonts w:ascii="Times New Roman" w:eastAsia="Times New Roman" w:hAnsi="Times New Roman" w:cs="Times New Roman"/>
          <w:sz w:val="24"/>
          <w:szCs w:val="24"/>
        </w:rPr>
        <w:t>asi</w:t>
      </w:r>
      <w:proofErr w:type="spellEnd"/>
      <w:r w:rsidRPr="00BA784D">
        <w:rPr>
          <w:rFonts w:ascii="Times New Roman" w:eastAsia="Times New Roman" w:hAnsi="Times New Roman" w:cs="Times New Roman"/>
          <w:sz w:val="24"/>
          <w:szCs w:val="24"/>
        </w:rPr>
        <w:t>́ como</w:t>
      </w:r>
      <w:r w:rsidR="00D44C86" w:rsidRPr="00BA784D">
        <w:rPr>
          <w:rFonts w:ascii="Times New Roman" w:eastAsia="Times New Roman" w:hAnsi="Times New Roman" w:cs="Times New Roman"/>
          <w:sz w:val="24"/>
          <w:szCs w:val="24"/>
        </w:rPr>
        <w:t>,</w:t>
      </w:r>
      <w:r w:rsidRPr="00BA784D">
        <w:rPr>
          <w:rFonts w:ascii="Times New Roman" w:eastAsia="Times New Roman" w:hAnsi="Times New Roman" w:cs="Times New Roman"/>
          <w:sz w:val="24"/>
          <w:szCs w:val="24"/>
        </w:rPr>
        <w:t xml:space="preserve"> cualquier persona </w:t>
      </w:r>
      <w:proofErr w:type="spellStart"/>
      <w:r w:rsidRPr="00BA784D">
        <w:rPr>
          <w:rFonts w:ascii="Times New Roman" w:eastAsia="Times New Roman" w:hAnsi="Times New Roman" w:cs="Times New Roman"/>
          <w:sz w:val="24"/>
          <w:szCs w:val="24"/>
        </w:rPr>
        <w:t>física</w:t>
      </w:r>
      <w:proofErr w:type="spellEnd"/>
      <w:r w:rsidRPr="00BA784D">
        <w:rPr>
          <w:rFonts w:ascii="Times New Roman" w:eastAsia="Times New Roman" w:hAnsi="Times New Roman" w:cs="Times New Roman"/>
          <w:sz w:val="24"/>
          <w:szCs w:val="24"/>
        </w:rPr>
        <w:t xml:space="preserve">, moral o sindicato que reciba y ejerza recursos </w:t>
      </w:r>
      <w:proofErr w:type="spellStart"/>
      <w:r w:rsidRPr="00BA784D">
        <w:rPr>
          <w:rFonts w:ascii="Times New Roman" w:eastAsia="Times New Roman" w:hAnsi="Times New Roman" w:cs="Times New Roman"/>
          <w:sz w:val="24"/>
          <w:szCs w:val="24"/>
        </w:rPr>
        <w:t>públicos</w:t>
      </w:r>
      <w:proofErr w:type="spellEnd"/>
      <w:r w:rsidRPr="00BA784D">
        <w:rPr>
          <w:rFonts w:ascii="Times New Roman" w:eastAsia="Times New Roman" w:hAnsi="Times New Roman" w:cs="Times New Roman"/>
          <w:sz w:val="24"/>
          <w:szCs w:val="24"/>
        </w:rPr>
        <w:t xml:space="preserve"> o realice actos de autoridad en los </w:t>
      </w:r>
      <w:proofErr w:type="spellStart"/>
      <w:r w:rsidRPr="00BA784D">
        <w:rPr>
          <w:rFonts w:ascii="Times New Roman" w:eastAsia="Times New Roman" w:hAnsi="Times New Roman" w:cs="Times New Roman"/>
          <w:sz w:val="24"/>
          <w:szCs w:val="24"/>
        </w:rPr>
        <w:t>ámbitos</w:t>
      </w:r>
      <w:proofErr w:type="spellEnd"/>
      <w:r w:rsidRPr="00BA784D">
        <w:rPr>
          <w:rFonts w:ascii="Times New Roman" w:eastAsia="Times New Roman" w:hAnsi="Times New Roman" w:cs="Times New Roman"/>
          <w:sz w:val="24"/>
          <w:szCs w:val="24"/>
        </w:rPr>
        <w:t xml:space="preserve"> federal, de las entidades federativas y municipal;</w:t>
      </w:r>
    </w:p>
    <w:p w14:paraId="7D2CB750" w14:textId="77777777" w:rsidR="00E35B30" w:rsidRPr="00BA784D" w:rsidRDefault="0036612A">
      <w:pPr>
        <w:spacing w:before="240" w:after="24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Transparencia proactiva</w:t>
      </w:r>
      <w:r w:rsidRPr="00BA784D">
        <w:rPr>
          <w:rFonts w:ascii="Times New Roman" w:eastAsia="Times New Roman" w:hAnsi="Times New Roman" w:cs="Times New Roman"/>
          <w:sz w:val="24"/>
          <w:szCs w:val="24"/>
        </w:rPr>
        <w:t xml:space="preserve">: El conjunto de actividades que promueven la </w:t>
      </w:r>
      <w:proofErr w:type="spellStart"/>
      <w:r w:rsidRPr="00BA784D">
        <w:rPr>
          <w:rFonts w:ascii="Times New Roman" w:eastAsia="Times New Roman" w:hAnsi="Times New Roman" w:cs="Times New Roman"/>
          <w:sz w:val="24"/>
          <w:szCs w:val="24"/>
        </w:rPr>
        <w:t>identificación</w:t>
      </w:r>
      <w:proofErr w:type="spellEnd"/>
      <w:r w:rsidRPr="00BA784D">
        <w:rPr>
          <w:rFonts w:ascii="Times New Roman" w:eastAsia="Times New Roman" w:hAnsi="Times New Roman" w:cs="Times New Roman"/>
          <w:sz w:val="24"/>
          <w:szCs w:val="24"/>
        </w:rPr>
        <w:t xml:space="preserve">, </w:t>
      </w:r>
      <w:proofErr w:type="spellStart"/>
      <w:r w:rsidRPr="00BA784D">
        <w:rPr>
          <w:rFonts w:ascii="Times New Roman" w:eastAsia="Times New Roman" w:hAnsi="Times New Roman" w:cs="Times New Roman"/>
          <w:sz w:val="24"/>
          <w:szCs w:val="24"/>
        </w:rPr>
        <w:t>generación</w:t>
      </w:r>
      <w:proofErr w:type="spellEnd"/>
      <w:r w:rsidRPr="00BA784D">
        <w:rPr>
          <w:rFonts w:ascii="Times New Roman" w:eastAsia="Times New Roman" w:hAnsi="Times New Roman" w:cs="Times New Roman"/>
          <w:sz w:val="24"/>
          <w:szCs w:val="24"/>
        </w:rPr>
        <w:t xml:space="preserve">, </w:t>
      </w:r>
      <w:proofErr w:type="spellStart"/>
      <w:r w:rsidRPr="00BA784D">
        <w:rPr>
          <w:rFonts w:ascii="Times New Roman" w:eastAsia="Times New Roman" w:hAnsi="Times New Roman" w:cs="Times New Roman"/>
          <w:sz w:val="24"/>
          <w:szCs w:val="24"/>
        </w:rPr>
        <w:t>publicación</w:t>
      </w:r>
      <w:proofErr w:type="spellEnd"/>
      <w:r w:rsidRPr="00BA784D">
        <w:rPr>
          <w:rFonts w:ascii="Times New Roman" w:eastAsia="Times New Roman" w:hAnsi="Times New Roman" w:cs="Times New Roman"/>
          <w:sz w:val="24"/>
          <w:szCs w:val="24"/>
        </w:rPr>
        <w:t xml:space="preserve"> y </w:t>
      </w:r>
      <w:proofErr w:type="spellStart"/>
      <w:r w:rsidRPr="00BA784D">
        <w:rPr>
          <w:rFonts w:ascii="Times New Roman" w:eastAsia="Times New Roman" w:hAnsi="Times New Roman" w:cs="Times New Roman"/>
          <w:sz w:val="24"/>
          <w:szCs w:val="24"/>
        </w:rPr>
        <w:t>difusión</w:t>
      </w:r>
      <w:proofErr w:type="spellEnd"/>
      <w:r w:rsidRPr="00BA784D">
        <w:rPr>
          <w:rFonts w:ascii="Times New Roman" w:eastAsia="Times New Roman" w:hAnsi="Times New Roman" w:cs="Times New Roman"/>
          <w:sz w:val="24"/>
          <w:szCs w:val="24"/>
        </w:rPr>
        <w:t xml:space="preserve"> de </w:t>
      </w:r>
      <w:proofErr w:type="spellStart"/>
      <w:r w:rsidRPr="00BA784D">
        <w:rPr>
          <w:rFonts w:ascii="Times New Roman" w:eastAsia="Times New Roman" w:hAnsi="Times New Roman" w:cs="Times New Roman"/>
          <w:sz w:val="24"/>
          <w:szCs w:val="24"/>
        </w:rPr>
        <w:t>información</w:t>
      </w:r>
      <w:proofErr w:type="spellEnd"/>
      <w:r w:rsidRPr="00BA784D">
        <w:rPr>
          <w:rFonts w:ascii="Times New Roman" w:eastAsia="Times New Roman" w:hAnsi="Times New Roman" w:cs="Times New Roman"/>
          <w:sz w:val="24"/>
          <w:szCs w:val="24"/>
        </w:rPr>
        <w:t xml:space="preserve"> adicional a la establecida con </w:t>
      </w:r>
      <w:proofErr w:type="spellStart"/>
      <w:r w:rsidRPr="00BA784D">
        <w:rPr>
          <w:rFonts w:ascii="Times New Roman" w:eastAsia="Times New Roman" w:hAnsi="Times New Roman" w:cs="Times New Roman"/>
          <w:sz w:val="24"/>
          <w:szCs w:val="24"/>
        </w:rPr>
        <w:t>carácter</w:t>
      </w:r>
      <w:proofErr w:type="spellEnd"/>
      <w:r w:rsidRPr="00BA784D">
        <w:rPr>
          <w:rFonts w:ascii="Times New Roman" w:eastAsia="Times New Roman" w:hAnsi="Times New Roman" w:cs="Times New Roman"/>
          <w:sz w:val="24"/>
          <w:szCs w:val="24"/>
        </w:rPr>
        <w:t xml:space="preserve"> obligatorio por la Ley General, que permite la </w:t>
      </w:r>
      <w:proofErr w:type="spellStart"/>
      <w:r w:rsidRPr="00BA784D">
        <w:rPr>
          <w:rFonts w:ascii="Times New Roman" w:eastAsia="Times New Roman" w:hAnsi="Times New Roman" w:cs="Times New Roman"/>
          <w:sz w:val="24"/>
          <w:szCs w:val="24"/>
        </w:rPr>
        <w:t>generación</w:t>
      </w:r>
      <w:proofErr w:type="spellEnd"/>
      <w:r w:rsidRPr="00BA784D">
        <w:rPr>
          <w:rFonts w:ascii="Times New Roman" w:eastAsia="Times New Roman" w:hAnsi="Times New Roman" w:cs="Times New Roman"/>
          <w:sz w:val="24"/>
          <w:szCs w:val="24"/>
        </w:rPr>
        <w:t xml:space="preserve"> de conocimiento </w:t>
      </w:r>
      <w:proofErr w:type="spellStart"/>
      <w:r w:rsidRPr="00BA784D">
        <w:rPr>
          <w:rFonts w:ascii="Times New Roman" w:eastAsia="Times New Roman" w:hAnsi="Times New Roman" w:cs="Times New Roman"/>
          <w:sz w:val="24"/>
          <w:szCs w:val="24"/>
        </w:rPr>
        <w:t>público</w:t>
      </w:r>
      <w:proofErr w:type="spellEnd"/>
      <w:r w:rsidRPr="00BA784D">
        <w:rPr>
          <w:rFonts w:ascii="Times New Roman" w:eastAsia="Times New Roman" w:hAnsi="Times New Roman" w:cs="Times New Roman"/>
          <w:sz w:val="24"/>
          <w:szCs w:val="24"/>
        </w:rPr>
        <w:t xml:space="preserve"> </w:t>
      </w:r>
      <w:proofErr w:type="spellStart"/>
      <w:r w:rsidRPr="00BA784D">
        <w:rPr>
          <w:rFonts w:ascii="Times New Roman" w:eastAsia="Times New Roman" w:hAnsi="Times New Roman" w:cs="Times New Roman"/>
          <w:sz w:val="24"/>
          <w:szCs w:val="24"/>
        </w:rPr>
        <w:t>útil</w:t>
      </w:r>
      <w:proofErr w:type="spellEnd"/>
      <w:r w:rsidRPr="00BA784D">
        <w:rPr>
          <w:rFonts w:ascii="Times New Roman" w:eastAsia="Times New Roman" w:hAnsi="Times New Roman" w:cs="Times New Roman"/>
          <w:sz w:val="24"/>
          <w:szCs w:val="24"/>
        </w:rPr>
        <w:t xml:space="preserve"> con un objeto claro enfocado en las necesidades de sectores de la sociedad determinados o determinables;</w:t>
      </w:r>
    </w:p>
    <w:p w14:paraId="378176B1" w14:textId="5FE797CD" w:rsidR="00E35B30" w:rsidRPr="00BA784D" w:rsidRDefault="0036612A">
      <w:pPr>
        <w:spacing w:after="20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Unidad de Transparencia</w:t>
      </w:r>
      <w:r w:rsidRPr="00BA784D">
        <w:rPr>
          <w:rFonts w:ascii="Times New Roman" w:eastAsia="Times New Roman" w:hAnsi="Times New Roman" w:cs="Times New Roman"/>
          <w:sz w:val="24"/>
          <w:szCs w:val="24"/>
        </w:rPr>
        <w:t xml:space="preserve">: Instancia a la que hace referencia el </w:t>
      </w:r>
      <w:proofErr w:type="spellStart"/>
      <w:r w:rsidRPr="00BA784D">
        <w:rPr>
          <w:rFonts w:ascii="Times New Roman" w:eastAsia="Times New Roman" w:hAnsi="Times New Roman" w:cs="Times New Roman"/>
          <w:sz w:val="24"/>
          <w:szCs w:val="24"/>
        </w:rPr>
        <w:t>artículo</w:t>
      </w:r>
      <w:proofErr w:type="spellEnd"/>
      <w:r w:rsidRPr="00BA784D">
        <w:rPr>
          <w:rFonts w:ascii="Times New Roman" w:eastAsia="Times New Roman" w:hAnsi="Times New Roman" w:cs="Times New Roman"/>
          <w:sz w:val="24"/>
          <w:szCs w:val="24"/>
        </w:rPr>
        <w:t xml:space="preserve"> 45 de la Ley General de Transparencia y Acceso a la Información Pública</w:t>
      </w:r>
      <w:r w:rsidR="008B209A" w:rsidRPr="00BA784D">
        <w:rPr>
          <w:rFonts w:ascii="Times New Roman" w:eastAsia="Times New Roman" w:hAnsi="Times New Roman" w:cs="Times New Roman"/>
          <w:sz w:val="24"/>
          <w:szCs w:val="24"/>
        </w:rPr>
        <w:t>, y</w:t>
      </w:r>
    </w:p>
    <w:p w14:paraId="7CB33D3D"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b/>
          <w:sz w:val="24"/>
          <w:szCs w:val="24"/>
        </w:rPr>
        <w:t>Vulnerabilidad</w:t>
      </w:r>
      <w:r w:rsidRPr="00BA784D">
        <w:rPr>
          <w:rFonts w:ascii="Times New Roman" w:eastAsia="Times New Roman" w:hAnsi="Times New Roman" w:cs="Times New Roman"/>
          <w:sz w:val="24"/>
          <w:szCs w:val="24"/>
        </w:rPr>
        <w:t xml:space="preserve">: Condición multifactorial que refiere a situaciones de riesgo o </w:t>
      </w:r>
      <w:proofErr w:type="spellStart"/>
      <w:r w:rsidRPr="00BA784D">
        <w:rPr>
          <w:rFonts w:ascii="Times New Roman" w:eastAsia="Times New Roman" w:hAnsi="Times New Roman" w:cs="Times New Roman"/>
          <w:sz w:val="24"/>
          <w:szCs w:val="24"/>
        </w:rPr>
        <w:t>discriminación</w:t>
      </w:r>
      <w:proofErr w:type="spellEnd"/>
      <w:r w:rsidRPr="00BA784D">
        <w:rPr>
          <w:rFonts w:ascii="Times New Roman" w:eastAsia="Times New Roman" w:hAnsi="Times New Roman" w:cs="Times New Roman"/>
          <w:sz w:val="24"/>
          <w:szCs w:val="24"/>
        </w:rPr>
        <w:t xml:space="preserve"> que impiden alcanzar mejores niveles de vida y lograr bienestar.</w:t>
      </w:r>
    </w:p>
    <w:p w14:paraId="03413E4E"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p>
    <w:p w14:paraId="78FFF499"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p>
    <w:p w14:paraId="0E578F9E"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b/>
      </w:r>
      <w:r w:rsidRPr="00BA784D">
        <w:rPr>
          <w:rFonts w:ascii="Times New Roman" w:eastAsia="Times New Roman" w:hAnsi="Times New Roman" w:cs="Times New Roman"/>
          <w:sz w:val="24"/>
          <w:szCs w:val="24"/>
        </w:rPr>
        <w:tab/>
      </w:r>
    </w:p>
    <w:p w14:paraId="502D5885"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b/>
        <w:t xml:space="preserve"> </w:t>
      </w:r>
    </w:p>
    <w:p w14:paraId="76A9C207" w14:textId="77777777" w:rsidR="00E35B30" w:rsidRPr="00BA784D" w:rsidRDefault="0036612A">
      <w:pPr>
        <w:spacing w:line="360" w:lineRule="auto"/>
        <w:rPr>
          <w:rFonts w:ascii="Times New Roman" w:eastAsia="Times New Roman" w:hAnsi="Times New Roman" w:cs="Times New Roman"/>
          <w:sz w:val="24"/>
          <w:szCs w:val="24"/>
        </w:rPr>
      </w:pPr>
      <w:r w:rsidRPr="00BA784D">
        <w:br w:type="page"/>
      </w:r>
    </w:p>
    <w:p w14:paraId="69856CF8" w14:textId="77777777" w:rsidR="00E35B30" w:rsidRPr="00BA784D" w:rsidRDefault="0036612A">
      <w:pPr>
        <w:pStyle w:val="Ttulo2"/>
        <w:spacing w:line="360" w:lineRule="auto"/>
        <w:ind w:left="0" w:firstLine="20"/>
        <w:jc w:val="center"/>
        <w:rPr>
          <w:sz w:val="24"/>
          <w:szCs w:val="24"/>
        </w:rPr>
      </w:pPr>
      <w:bookmarkStart w:id="49" w:name="_Toc102051245"/>
      <w:r w:rsidRPr="00BA784D">
        <w:rPr>
          <w:sz w:val="24"/>
          <w:szCs w:val="24"/>
        </w:rPr>
        <w:lastRenderedPageBreak/>
        <w:t>Anexo 1. Fichas de Indicadores de Objetivos Estratégicos del PROTAI</w:t>
      </w:r>
      <w:bookmarkEnd w:id="49"/>
    </w:p>
    <w:p w14:paraId="3EB24B9F" w14:textId="77777777" w:rsidR="00E35B30" w:rsidRPr="00BA784D" w:rsidRDefault="00E35B30">
      <w:pPr>
        <w:spacing w:line="360" w:lineRule="auto"/>
        <w:jc w:val="center"/>
        <w:rPr>
          <w:rFonts w:ascii="Times New Roman" w:eastAsia="Times New Roman" w:hAnsi="Times New Roman" w:cs="Times New Roman"/>
          <w:b/>
          <w:sz w:val="24"/>
          <w:szCs w:val="24"/>
        </w:rPr>
      </w:pPr>
    </w:p>
    <w:tbl>
      <w:tblPr>
        <w:tblStyle w:val="12"/>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E35B30" w:rsidRPr="00BA784D" w14:paraId="3A35B978" w14:textId="77777777">
        <w:trPr>
          <w:trHeight w:val="397"/>
        </w:trPr>
        <w:tc>
          <w:tcPr>
            <w:tcW w:w="8828" w:type="dxa"/>
            <w:gridSpan w:val="2"/>
            <w:vAlign w:val="center"/>
          </w:tcPr>
          <w:p w14:paraId="590BF152" w14:textId="52B78B22" w:rsidR="00E35B30" w:rsidRPr="00BA784D" w:rsidRDefault="0036612A">
            <w:pPr>
              <w:pStyle w:val="Ttulo4"/>
              <w:spacing w:line="360" w:lineRule="auto"/>
              <w:ind w:firstLine="100"/>
              <w:rPr>
                <w:rFonts w:ascii="Times New Roman" w:eastAsia="Times New Roman" w:hAnsi="Times New Roman" w:cs="Times New Roman"/>
              </w:rPr>
            </w:pPr>
            <w:bookmarkStart w:id="50" w:name="_Toc102051246"/>
            <w:r w:rsidRPr="00BA784D">
              <w:rPr>
                <w:rFonts w:ascii="Times New Roman" w:eastAsia="Times New Roman" w:hAnsi="Times New Roman" w:cs="Times New Roman"/>
              </w:rPr>
              <w:t>FICHA INDICADOR 1.1. Índice de control de la gestión documental</w:t>
            </w:r>
            <w:bookmarkEnd w:id="50"/>
          </w:p>
        </w:tc>
      </w:tr>
      <w:tr w:rsidR="00E35B30" w:rsidRPr="00BA784D" w14:paraId="11176EAD" w14:textId="77777777">
        <w:trPr>
          <w:trHeight w:val="397"/>
        </w:trPr>
        <w:tc>
          <w:tcPr>
            <w:tcW w:w="1969" w:type="dxa"/>
            <w:shd w:val="clear" w:color="auto" w:fill="767171"/>
            <w:vAlign w:val="center"/>
          </w:tcPr>
          <w:p w14:paraId="3A1912E6" w14:textId="77777777" w:rsidR="00E35B30" w:rsidRPr="00BA784D" w:rsidRDefault="0036612A">
            <w:pPr>
              <w:spacing w:line="360" w:lineRule="auto"/>
              <w:jc w:val="center"/>
              <w:rPr>
                <w:rFonts w:ascii="Times New Roman" w:eastAsia="Times New Roman" w:hAnsi="Times New Roman" w:cs="Times New Roman"/>
                <w:color w:val="FFFFFF"/>
                <w:sz w:val="24"/>
                <w:szCs w:val="24"/>
              </w:rPr>
            </w:pPr>
            <w:r w:rsidRPr="00BA784D">
              <w:rPr>
                <w:rFonts w:ascii="Times New Roman" w:eastAsia="Times New Roman" w:hAnsi="Times New Roman" w:cs="Times New Roman"/>
                <w:color w:val="FFFFFF"/>
                <w:sz w:val="24"/>
                <w:szCs w:val="24"/>
              </w:rPr>
              <w:t>ELEMENTO</w:t>
            </w:r>
          </w:p>
        </w:tc>
        <w:tc>
          <w:tcPr>
            <w:tcW w:w="6859" w:type="dxa"/>
            <w:shd w:val="clear" w:color="auto" w:fill="767171"/>
            <w:vAlign w:val="center"/>
          </w:tcPr>
          <w:p w14:paraId="6EF6E761" w14:textId="77777777" w:rsidR="00E35B30" w:rsidRPr="00BA784D" w:rsidRDefault="0036612A">
            <w:pPr>
              <w:spacing w:line="360" w:lineRule="auto"/>
              <w:jc w:val="center"/>
              <w:rPr>
                <w:rFonts w:ascii="Times New Roman" w:eastAsia="Times New Roman" w:hAnsi="Times New Roman" w:cs="Times New Roman"/>
                <w:b/>
                <w:color w:val="FFFFFF"/>
                <w:sz w:val="24"/>
                <w:szCs w:val="24"/>
              </w:rPr>
            </w:pPr>
            <w:r w:rsidRPr="00BA784D">
              <w:rPr>
                <w:rFonts w:ascii="Times New Roman" w:eastAsia="Times New Roman" w:hAnsi="Times New Roman" w:cs="Times New Roman"/>
                <w:b/>
                <w:color w:val="FFFFFF"/>
                <w:sz w:val="24"/>
                <w:szCs w:val="24"/>
              </w:rPr>
              <w:t>CARACTERÍSTICA</w:t>
            </w:r>
          </w:p>
        </w:tc>
      </w:tr>
      <w:tr w:rsidR="00E35B30" w:rsidRPr="00BA784D" w14:paraId="22567DFA" w14:textId="77777777">
        <w:trPr>
          <w:trHeight w:val="397"/>
        </w:trPr>
        <w:tc>
          <w:tcPr>
            <w:tcW w:w="1969" w:type="dxa"/>
            <w:vAlign w:val="center"/>
          </w:tcPr>
          <w:p w14:paraId="4AFD8ED5" w14:textId="77777777" w:rsidR="00E35B30" w:rsidRPr="00BA784D" w:rsidRDefault="0036612A">
            <w:pPr>
              <w:spacing w:line="360" w:lineRule="auto"/>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Eje</w:t>
            </w:r>
          </w:p>
        </w:tc>
        <w:tc>
          <w:tcPr>
            <w:tcW w:w="6859" w:type="dxa"/>
            <w:vAlign w:val="center"/>
          </w:tcPr>
          <w:p w14:paraId="7C5D4CC1"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 Archivos y Gestión Documental</w:t>
            </w:r>
          </w:p>
        </w:tc>
      </w:tr>
      <w:tr w:rsidR="00E35B30" w:rsidRPr="00BA784D" w14:paraId="6A435B17" w14:textId="77777777">
        <w:trPr>
          <w:trHeight w:val="397"/>
        </w:trPr>
        <w:tc>
          <w:tcPr>
            <w:tcW w:w="1969" w:type="dxa"/>
            <w:vAlign w:val="center"/>
          </w:tcPr>
          <w:p w14:paraId="6B2BAF04"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Objetivo</w:t>
            </w:r>
          </w:p>
        </w:tc>
        <w:tc>
          <w:tcPr>
            <w:tcW w:w="6859" w:type="dxa"/>
          </w:tcPr>
          <w:p w14:paraId="05E62C6F"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1.1 Consolidar la regulación de la gestión documental y la administración de archivos como condición necesaria para el ejercicio y desarrollo del Derecho de Acceso a la Información Pública.</w:t>
            </w:r>
          </w:p>
        </w:tc>
      </w:tr>
      <w:tr w:rsidR="00E35B30" w:rsidRPr="00BA784D" w14:paraId="2253D5C0" w14:textId="77777777">
        <w:trPr>
          <w:trHeight w:val="397"/>
        </w:trPr>
        <w:tc>
          <w:tcPr>
            <w:tcW w:w="1969" w:type="dxa"/>
            <w:vAlign w:val="center"/>
          </w:tcPr>
          <w:p w14:paraId="350A671C"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Descripción general</w:t>
            </w:r>
          </w:p>
        </w:tc>
        <w:tc>
          <w:tcPr>
            <w:tcW w:w="6859" w:type="dxa"/>
          </w:tcPr>
          <w:p w14:paraId="6B226A45" w14:textId="50CEECD4"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Medir la existencia de procesos y mecanismos en los Organismos Garantes para el control del tratamiento de la documentación.</w:t>
            </w:r>
          </w:p>
        </w:tc>
      </w:tr>
      <w:tr w:rsidR="00E35B30" w:rsidRPr="00BA784D" w14:paraId="70D21AB7" w14:textId="77777777">
        <w:trPr>
          <w:trHeight w:val="397"/>
        </w:trPr>
        <w:tc>
          <w:tcPr>
            <w:tcW w:w="1969" w:type="dxa"/>
          </w:tcPr>
          <w:p w14:paraId="053BE3D2" w14:textId="77777777" w:rsidR="00E35B30" w:rsidRPr="00BA784D" w:rsidRDefault="0036612A">
            <w:pPr>
              <w:spacing w:line="360" w:lineRule="auto"/>
              <w:ind w:left="288" w:hanging="288"/>
              <w:jc w:val="both"/>
              <w:rPr>
                <w:rFonts w:ascii="Times New Roman" w:eastAsia="Times New Roman" w:hAnsi="Times New Roman" w:cs="Times New Roman"/>
                <w:smallCaps/>
                <w:color w:val="FFFFFF"/>
                <w:sz w:val="24"/>
                <w:szCs w:val="24"/>
              </w:rPr>
            </w:pPr>
            <w:r w:rsidRPr="00BA784D">
              <w:rPr>
                <w:rFonts w:ascii="Times New Roman" w:eastAsia="Times New Roman" w:hAnsi="Times New Roman" w:cs="Times New Roman"/>
                <w:smallCaps/>
                <w:sz w:val="24"/>
                <w:szCs w:val="24"/>
              </w:rPr>
              <w:t>Método de cálculo</w:t>
            </w:r>
          </w:p>
        </w:tc>
        <w:tc>
          <w:tcPr>
            <w:tcW w:w="6859" w:type="dxa"/>
          </w:tcPr>
          <w:p w14:paraId="386AA86B" w14:textId="3B5F1C17" w:rsidR="00E35B30" w:rsidRPr="00BA784D" w:rsidRDefault="0027114E">
            <w:pPr>
              <w:jc w:val="center"/>
              <w:rPr>
                <w:rFonts w:ascii="Times New Roman" w:eastAsia="Times New Roman" w:hAnsi="Times New Roman" w:cs="Times New Roman"/>
                <w:color w:val="000000"/>
                <w:sz w:val="24"/>
                <w:szCs w:val="24"/>
              </w:rPr>
            </w:pPr>
            <m:oMathPara>
              <m:oMath>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f>
                          <m:fPr>
                            <m:ctrlPr>
                              <w:rPr>
                                <w:rFonts w:ascii="Cambria Math" w:eastAsia="Times New Roman" w:hAnsi="Cambria Math" w:cs="Times New Roman"/>
                                <w:i/>
                                <w:color w:val="000000"/>
                                <w:sz w:val="24"/>
                                <w:szCs w:val="24"/>
                              </w:rPr>
                            </m:ctrlPr>
                          </m:fPr>
                          <m:num>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Σ</m:t>
                                </m:r>
                              </m:e>
                              <m:sub>
                                <m:r>
                                  <w:rPr>
                                    <w:rFonts w:ascii="Cambria Math" w:eastAsia="Times New Roman" w:hAnsi="Cambria Math" w:cs="Times New Roman"/>
                                    <w:color w:val="000000"/>
                                    <w:sz w:val="24"/>
                                    <w:szCs w:val="24"/>
                                  </w:rPr>
                                  <m:t>i</m:t>
                                </m:r>
                              </m:sub>
                            </m:sSub>
                            <m:r>
                              <w:rPr>
                                <w:rFonts w:ascii="Cambria Math" w:eastAsia="Times New Roman" w:hAnsi="Cambria Math" w:cs="Times New Roman"/>
                                <w:color w:val="000000"/>
                                <w:sz w:val="24"/>
                                <w:szCs w:val="24"/>
                              </w:rPr>
                              <m:t>MC</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i</m:t>
                                </m:r>
                              </m:sub>
                            </m:sSub>
                          </m:num>
                          <m:den>
                            <m:r>
                              <w:rPr>
                                <w:rFonts w:ascii="Cambria Math" w:eastAsia="Times New Roman" w:hAnsi="Cambria Math" w:cs="Times New Roman"/>
                                <w:color w:val="000000"/>
                                <w:sz w:val="24"/>
                                <w:szCs w:val="24"/>
                              </w:rPr>
                              <m:t>4</m:t>
                            </m:r>
                          </m:den>
                        </m:f>
                      </m:num>
                      <m:den>
                        <m:r>
                          <w:rPr>
                            <w:rFonts w:ascii="Cambria Math" w:eastAsia="Times New Roman" w:hAnsi="Cambria Math" w:cs="Times New Roman"/>
                            <w:color w:val="000000"/>
                            <w:sz w:val="24"/>
                            <w:szCs w:val="24"/>
                          </w:rPr>
                          <m:t>33</m:t>
                        </m:r>
                      </m:den>
                    </m:f>
                  </m:e>
                </m:d>
                <m:r>
                  <w:rPr>
                    <w:rFonts w:ascii="Cambria Math" w:eastAsia="Times New Roman" w:hAnsi="Cambria Math" w:cs="Times New Roman"/>
                    <w:color w:val="000000"/>
                    <w:sz w:val="24"/>
                    <w:szCs w:val="24"/>
                  </w:rPr>
                  <m:t>x100</m:t>
                </m:r>
              </m:oMath>
            </m:oMathPara>
          </w:p>
          <w:p w14:paraId="6ECBE8AF" w14:textId="77777777" w:rsidR="00E35B30" w:rsidRPr="00BA784D" w:rsidRDefault="00E35B30">
            <w:pPr>
              <w:spacing w:line="360" w:lineRule="auto"/>
              <w:rPr>
                <w:rFonts w:ascii="Times New Roman" w:eastAsia="Times New Roman" w:hAnsi="Times New Roman" w:cs="Times New Roman"/>
                <w:sz w:val="24"/>
                <w:szCs w:val="24"/>
              </w:rPr>
            </w:pPr>
          </w:p>
          <w:p w14:paraId="1FAA7D48"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Donde:</w:t>
            </w:r>
          </w:p>
          <w:p w14:paraId="6A9508CC" w14:textId="77777777" w:rsidR="00E35B30" w:rsidRPr="00BA784D" w:rsidRDefault="00E35B30">
            <w:pPr>
              <w:spacing w:line="360" w:lineRule="auto"/>
              <w:jc w:val="both"/>
              <w:rPr>
                <w:rFonts w:ascii="Times New Roman" w:eastAsia="Times New Roman" w:hAnsi="Times New Roman" w:cs="Times New Roman"/>
                <w:sz w:val="24"/>
                <w:szCs w:val="24"/>
              </w:rPr>
            </w:pPr>
          </w:p>
          <w:p w14:paraId="727F6B8C" w14:textId="77777777" w:rsidR="00E35B30" w:rsidRPr="00BA784D" w:rsidRDefault="0036612A">
            <w:pPr>
              <w:spacing w:line="360" w:lineRule="auto"/>
              <w:jc w:val="both"/>
              <w:rPr>
                <w:rFonts w:ascii="Times New Roman" w:eastAsia="Times New Roman" w:hAnsi="Times New Roman" w:cs="Times New Roman"/>
                <w:sz w:val="24"/>
                <w:szCs w:val="24"/>
              </w:rPr>
            </w:pPr>
            <m:oMath>
              <m:r>
                <w:rPr>
                  <w:rFonts w:ascii="Times New Roman" w:eastAsia="Times New Roman" w:hAnsi="Times New Roman" w:cs="Times New Roman"/>
                  <w:sz w:val="24"/>
                  <w:szCs w:val="24"/>
                </w:rPr>
                <m:t>MCA</m:t>
              </m:r>
            </m:oMath>
            <w:r w:rsidRPr="00BA784D">
              <w:rPr>
                <w:rFonts w:ascii="Times New Roman" w:eastAsia="Times New Roman" w:hAnsi="Times New Roman" w:cs="Times New Roman"/>
                <w:sz w:val="24"/>
                <w:szCs w:val="24"/>
              </w:rPr>
              <w:t xml:space="preserve">, se refiere al total de mecanismos de control archivístico y gestión documental </w:t>
            </w:r>
            <w:r w:rsidRPr="00BA784D">
              <w:rPr>
                <w:rFonts w:ascii="Times New Roman" w:eastAsia="Times New Roman" w:hAnsi="Times New Roman" w:cs="Times New Roman"/>
                <w:i/>
                <w:sz w:val="24"/>
                <w:szCs w:val="24"/>
              </w:rPr>
              <w:t xml:space="preserve">i </w:t>
            </w:r>
            <w:r w:rsidRPr="00BA784D">
              <w:rPr>
                <w:rFonts w:ascii="Times New Roman" w:eastAsia="Times New Roman" w:hAnsi="Times New Roman" w:cs="Times New Roman"/>
                <w:sz w:val="24"/>
                <w:szCs w:val="24"/>
              </w:rPr>
              <w:t>reportados por los Organismos Garantes. Se incluyen 4 mecanismos:</w:t>
            </w:r>
          </w:p>
          <w:p w14:paraId="1D4DDA37" w14:textId="77777777" w:rsidR="00E35B30" w:rsidRPr="00BA784D" w:rsidRDefault="00E35B30">
            <w:pPr>
              <w:spacing w:line="360" w:lineRule="auto"/>
              <w:jc w:val="both"/>
              <w:rPr>
                <w:rFonts w:ascii="Times New Roman" w:eastAsia="Times New Roman" w:hAnsi="Times New Roman" w:cs="Times New Roman"/>
                <w:sz w:val="24"/>
                <w:szCs w:val="24"/>
              </w:rPr>
            </w:pPr>
          </w:p>
          <w:p w14:paraId="4EB9294D"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Cuadro de clasificación archivística;</w:t>
            </w:r>
          </w:p>
          <w:p w14:paraId="30724717"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Catálogo de disposición documental;</w:t>
            </w:r>
          </w:p>
          <w:p w14:paraId="2B1E0836"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Sistema institucional de archivos;</w:t>
            </w:r>
          </w:p>
          <w:p w14:paraId="3A2DC4B4"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Sistema automatizado de gestión documental y control de documentos.</w:t>
            </w:r>
          </w:p>
          <w:p w14:paraId="08DFF301" w14:textId="77777777" w:rsidR="00E35B30" w:rsidRPr="00BA784D" w:rsidRDefault="00E35B30">
            <w:pPr>
              <w:spacing w:line="360" w:lineRule="auto"/>
              <w:jc w:val="both"/>
              <w:rPr>
                <w:rFonts w:ascii="Times New Roman" w:eastAsia="Times New Roman" w:hAnsi="Times New Roman" w:cs="Times New Roman"/>
                <w:sz w:val="24"/>
                <w:szCs w:val="24"/>
              </w:rPr>
            </w:pPr>
          </w:p>
          <w:p w14:paraId="127A1707" w14:textId="5F14DC35" w:rsidR="00E35B30" w:rsidRPr="00BA784D" w:rsidRDefault="00E35B30">
            <w:pPr>
              <w:spacing w:line="360" w:lineRule="auto"/>
              <w:jc w:val="both"/>
              <w:rPr>
                <w:rFonts w:ascii="Times New Roman" w:eastAsia="Times New Roman" w:hAnsi="Times New Roman" w:cs="Times New Roman"/>
                <w:sz w:val="24"/>
                <w:szCs w:val="24"/>
              </w:rPr>
            </w:pPr>
          </w:p>
        </w:tc>
      </w:tr>
      <w:tr w:rsidR="00E35B30" w:rsidRPr="00BA784D" w14:paraId="235729A1" w14:textId="77777777">
        <w:trPr>
          <w:trHeight w:val="397"/>
        </w:trPr>
        <w:tc>
          <w:tcPr>
            <w:tcW w:w="1969" w:type="dxa"/>
            <w:vAlign w:val="center"/>
          </w:tcPr>
          <w:p w14:paraId="4757E101"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Periodicidad</w:t>
            </w:r>
          </w:p>
        </w:tc>
        <w:tc>
          <w:tcPr>
            <w:tcW w:w="6859" w:type="dxa"/>
            <w:vAlign w:val="center"/>
          </w:tcPr>
          <w:p w14:paraId="115FCD64"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Anual</w:t>
            </w:r>
          </w:p>
        </w:tc>
      </w:tr>
      <w:tr w:rsidR="00F56323" w:rsidRPr="00BA784D" w14:paraId="3D6CE3B0" w14:textId="77777777" w:rsidTr="00F56323">
        <w:trPr>
          <w:trHeight w:val="397"/>
        </w:trPr>
        <w:tc>
          <w:tcPr>
            <w:tcW w:w="1969" w:type="dxa"/>
            <w:vAlign w:val="center"/>
          </w:tcPr>
          <w:p w14:paraId="61E4D715" w14:textId="77777777" w:rsidR="00F56323" w:rsidRPr="00BA784D" w:rsidRDefault="00F56323">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lastRenderedPageBreak/>
              <w:t>Reactivos utilizados</w:t>
            </w:r>
          </w:p>
        </w:tc>
        <w:tc>
          <w:tcPr>
            <w:tcW w:w="6859" w:type="dxa"/>
            <w:vAlign w:val="center"/>
          </w:tcPr>
          <w:p w14:paraId="3B6B1EEB" w14:textId="0743032A" w:rsidR="00F56323" w:rsidRPr="00BA784D" w:rsidRDefault="00F56323">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Variable: MCA</w:t>
            </w:r>
          </w:p>
          <w:p w14:paraId="5883E271" w14:textId="5906869E" w:rsidR="00F56323" w:rsidRPr="00BA784D" w:rsidRDefault="00F56323" w:rsidP="008A08A4">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Censo Estatal Módulo 01 Sección 08 Pregunta 119</w:t>
            </w:r>
          </w:p>
          <w:p w14:paraId="2590C1F0" w14:textId="763FB7A6" w:rsidR="00F56323" w:rsidRPr="00BA784D" w:rsidRDefault="00F56323">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Censo Federal Módulo 01 Sección 08 Pregunta 115</w:t>
            </w:r>
          </w:p>
        </w:tc>
      </w:tr>
      <w:tr w:rsidR="00E35B30" w:rsidRPr="00BA784D" w14:paraId="5FE51DC1" w14:textId="77777777">
        <w:trPr>
          <w:trHeight w:val="397"/>
        </w:trPr>
        <w:tc>
          <w:tcPr>
            <w:tcW w:w="1969" w:type="dxa"/>
            <w:vAlign w:val="center"/>
          </w:tcPr>
          <w:p w14:paraId="1567A611"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Medios de verificación</w:t>
            </w:r>
          </w:p>
        </w:tc>
        <w:tc>
          <w:tcPr>
            <w:tcW w:w="6859" w:type="dxa"/>
            <w:vAlign w:val="center"/>
          </w:tcPr>
          <w:p w14:paraId="7F275BC6" w14:textId="037FA213"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INEGI. </w:t>
            </w:r>
            <w:r w:rsidR="002207D1" w:rsidRPr="00BA784D">
              <w:rPr>
                <w:rFonts w:ascii="Times New Roman" w:eastAsia="Times New Roman" w:hAnsi="Times New Roman" w:cs="Times New Roman"/>
                <w:sz w:val="24"/>
                <w:szCs w:val="24"/>
              </w:rPr>
              <w:br/>
            </w:r>
            <w:r w:rsidRPr="00BA784D">
              <w:rPr>
                <w:rFonts w:ascii="Times New Roman" w:eastAsia="Times New Roman" w:hAnsi="Times New Roman" w:cs="Times New Roman"/>
                <w:sz w:val="24"/>
                <w:szCs w:val="24"/>
              </w:rPr>
              <w:t xml:space="preserve">Censo Nacional de Transparencia, Acceso a la Información Pública y Protección de Datos Personales </w:t>
            </w:r>
            <w:r w:rsidR="002207D1" w:rsidRPr="00BA784D">
              <w:rPr>
                <w:rFonts w:ascii="Times New Roman" w:eastAsia="Times New Roman" w:hAnsi="Times New Roman" w:cs="Times New Roman"/>
                <w:sz w:val="24"/>
                <w:szCs w:val="24"/>
              </w:rPr>
              <w:t xml:space="preserve">Federal </w:t>
            </w:r>
            <w:r w:rsidRPr="00BA784D">
              <w:rPr>
                <w:rFonts w:ascii="Times New Roman" w:eastAsia="Times New Roman" w:hAnsi="Times New Roman" w:cs="Times New Roman"/>
                <w:sz w:val="24"/>
                <w:szCs w:val="24"/>
              </w:rPr>
              <w:t>(</w:t>
            </w:r>
            <w:r w:rsidR="00017507" w:rsidRPr="00BA784D">
              <w:rPr>
                <w:rFonts w:ascii="Times New Roman" w:eastAsia="Times New Roman" w:hAnsi="Times New Roman" w:cs="Times New Roman"/>
                <w:sz w:val="24"/>
                <w:szCs w:val="24"/>
              </w:rPr>
              <w:t>CNTAIPPDP</w:t>
            </w:r>
            <w:r w:rsidR="00505E6F" w:rsidRPr="00BA784D">
              <w:rPr>
                <w:rFonts w:ascii="Times New Roman" w:eastAsia="Times New Roman" w:hAnsi="Times New Roman" w:cs="Times New Roman"/>
                <w:sz w:val="24"/>
                <w:szCs w:val="24"/>
              </w:rPr>
              <w:t>F</w:t>
            </w:r>
            <w:r w:rsidRPr="00BA784D">
              <w:rPr>
                <w:rFonts w:ascii="Times New Roman" w:eastAsia="Times New Roman" w:hAnsi="Times New Roman" w:cs="Times New Roman"/>
                <w:sz w:val="24"/>
                <w:szCs w:val="24"/>
              </w:rPr>
              <w:t>).</w:t>
            </w:r>
            <w:r w:rsidR="00CA4315" w:rsidRPr="00BA784D">
              <w:rPr>
                <w:rFonts w:ascii="Times New Roman" w:eastAsia="Times New Roman" w:hAnsi="Times New Roman" w:cs="Times New Roman"/>
                <w:sz w:val="24"/>
                <w:szCs w:val="24"/>
              </w:rPr>
              <w:t xml:space="preserve"> </w:t>
            </w:r>
          </w:p>
          <w:p w14:paraId="445A8675" w14:textId="6493E47C" w:rsidR="002207D1" w:rsidRPr="00BA784D" w:rsidRDefault="002207D1">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Censo Nacional de Transparencia, Acceso a la Información Pública y Protección de Datos Personales Estatal (</w:t>
            </w:r>
            <w:r w:rsidR="00017507" w:rsidRPr="00BA784D">
              <w:rPr>
                <w:rFonts w:ascii="Times New Roman" w:eastAsia="Times New Roman" w:hAnsi="Times New Roman" w:cs="Times New Roman"/>
                <w:sz w:val="24"/>
                <w:szCs w:val="24"/>
              </w:rPr>
              <w:t>CNTAIPPDP</w:t>
            </w:r>
            <w:r w:rsidR="00505E6F" w:rsidRPr="00BA784D">
              <w:rPr>
                <w:rFonts w:ascii="Times New Roman" w:eastAsia="Times New Roman" w:hAnsi="Times New Roman" w:cs="Times New Roman"/>
                <w:sz w:val="24"/>
                <w:szCs w:val="24"/>
              </w:rPr>
              <w:t>E</w:t>
            </w:r>
            <w:r w:rsidRPr="00BA784D">
              <w:rPr>
                <w:rFonts w:ascii="Times New Roman" w:eastAsia="Times New Roman" w:hAnsi="Times New Roman" w:cs="Times New Roman"/>
                <w:sz w:val="24"/>
                <w:szCs w:val="24"/>
              </w:rPr>
              <w:t>).</w:t>
            </w:r>
          </w:p>
        </w:tc>
      </w:tr>
      <w:tr w:rsidR="00E35B30" w:rsidRPr="00BA784D" w14:paraId="114F619E" w14:textId="77777777">
        <w:trPr>
          <w:trHeight w:val="397"/>
        </w:trPr>
        <w:tc>
          <w:tcPr>
            <w:tcW w:w="1969" w:type="dxa"/>
            <w:vAlign w:val="center"/>
          </w:tcPr>
          <w:p w14:paraId="73B35A7D" w14:textId="77777777" w:rsidR="00E35B30" w:rsidRPr="00BA784D" w:rsidRDefault="0036612A">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Actores vinculados con el indicador</w:t>
            </w:r>
          </w:p>
        </w:tc>
        <w:tc>
          <w:tcPr>
            <w:tcW w:w="6859" w:type="dxa"/>
            <w:vAlign w:val="center"/>
          </w:tcPr>
          <w:p w14:paraId="42A36465"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Organismos Garantes.</w:t>
            </w:r>
          </w:p>
        </w:tc>
      </w:tr>
      <w:tr w:rsidR="00E35B30" w:rsidRPr="00BA784D" w14:paraId="53B37C7C" w14:textId="77777777">
        <w:trPr>
          <w:trHeight w:val="397"/>
        </w:trPr>
        <w:tc>
          <w:tcPr>
            <w:tcW w:w="1969" w:type="dxa"/>
            <w:vAlign w:val="center"/>
          </w:tcPr>
          <w:p w14:paraId="2D60A598" w14:textId="5279687A" w:rsidR="00E35B30" w:rsidRPr="00BA784D" w:rsidRDefault="0036612A">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Línea base (</w:t>
            </w:r>
            <w:bookmarkStart w:id="51" w:name="_Hlk97207361"/>
            <w:r w:rsidR="00017507" w:rsidRPr="00BA784D">
              <w:rPr>
                <w:rFonts w:ascii="Times New Roman" w:eastAsia="Times New Roman" w:hAnsi="Times New Roman" w:cs="Times New Roman"/>
                <w:smallCaps/>
                <w:sz w:val="24"/>
                <w:szCs w:val="24"/>
              </w:rPr>
              <w:t>CNTAIPPDP</w:t>
            </w:r>
            <w:r w:rsidR="00893E3A" w:rsidRPr="00BA784D">
              <w:rPr>
                <w:rFonts w:ascii="Times New Roman" w:eastAsia="Times New Roman" w:hAnsi="Times New Roman" w:cs="Times New Roman"/>
                <w:smallCaps/>
                <w:sz w:val="24"/>
                <w:szCs w:val="24"/>
              </w:rPr>
              <w:t>F y CNTAIPPDPE</w:t>
            </w:r>
            <w:r w:rsidRPr="00BA784D">
              <w:rPr>
                <w:rFonts w:ascii="Times New Roman" w:eastAsia="Times New Roman" w:hAnsi="Times New Roman" w:cs="Times New Roman"/>
                <w:smallCaps/>
                <w:sz w:val="24"/>
                <w:szCs w:val="24"/>
              </w:rPr>
              <w:t xml:space="preserve"> </w:t>
            </w:r>
            <w:bookmarkEnd w:id="51"/>
            <w:r w:rsidRPr="00BA784D">
              <w:rPr>
                <w:rFonts w:ascii="Times New Roman" w:eastAsia="Times New Roman" w:hAnsi="Times New Roman" w:cs="Times New Roman"/>
                <w:smallCaps/>
                <w:sz w:val="24"/>
                <w:szCs w:val="24"/>
              </w:rPr>
              <w:t>2020)</w:t>
            </w:r>
          </w:p>
        </w:tc>
        <w:tc>
          <w:tcPr>
            <w:tcW w:w="6859" w:type="dxa"/>
            <w:vAlign w:val="center"/>
          </w:tcPr>
          <w:p w14:paraId="6E7342CE" w14:textId="7C33189E" w:rsidR="00E35B30"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5</w:t>
            </w:r>
            <w:r w:rsidR="006E5434" w:rsidRPr="00BA784D">
              <w:rPr>
                <w:rFonts w:ascii="Times New Roman" w:eastAsia="Times New Roman" w:hAnsi="Times New Roman" w:cs="Times New Roman"/>
                <w:sz w:val="24"/>
                <w:szCs w:val="24"/>
              </w:rPr>
              <w:t>9</w:t>
            </w:r>
            <w:r w:rsidRPr="00BA784D">
              <w:rPr>
                <w:rFonts w:ascii="Times New Roman" w:eastAsia="Times New Roman" w:hAnsi="Times New Roman" w:cs="Times New Roman"/>
                <w:sz w:val="24"/>
                <w:szCs w:val="24"/>
              </w:rPr>
              <w:t>.</w:t>
            </w:r>
            <w:r w:rsidR="006E5434" w:rsidRPr="00BA784D">
              <w:rPr>
                <w:rFonts w:ascii="Times New Roman" w:eastAsia="Times New Roman" w:hAnsi="Times New Roman" w:cs="Times New Roman"/>
                <w:sz w:val="24"/>
                <w:szCs w:val="24"/>
              </w:rPr>
              <w:t>84</w:t>
            </w:r>
            <w:r w:rsidRPr="00BA784D">
              <w:rPr>
                <w:rFonts w:ascii="Times New Roman" w:eastAsia="Times New Roman" w:hAnsi="Times New Roman" w:cs="Times New Roman"/>
                <w:sz w:val="24"/>
                <w:szCs w:val="24"/>
              </w:rPr>
              <w:t>%</w:t>
            </w:r>
            <w:r w:rsidR="00F51508" w:rsidRPr="00BA784D">
              <w:rPr>
                <w:rFonts w:ascii="Times New Roman" w:eastAsia="Times New Roman" w:hAnsi="Times New Roman" w:cs="Times New Roman"/>
                <w:sz w:val="24"/>
                <w:szCs w:val="24"/>
              </w:rPr>
              <w:t xml:space="preserve"> </w:t>
            </w:r>
          </w:p>
          <w:p w14:paraId="4F4465D3" w14:textId="77777777" w:rsidR="00FD4F8F" w:rsidRPr="00BA784D" w:rsidRDefault="00FD4F8F">
            <w:pPr>
              <w:spacing w:line="360" w:lineRule="auto"/>
              <w:rPr>
                <w:rFonts w:ascii="Times New Roman" w:eastAsia="Times New Roman" w:hAnsi="Times New Roman" w:cs="Times New Roman"/>
                <w:sz w:val="24"/>
                <w:szCs w:val="24"/>
              </w:rPr>
            </w:pPr>
          </w:p>
          <w:bookmarkStart w:id="52" w:name="_Hlk97207370"/>
          <w:p w14:paraId="6FBD7EB9" w14:textId="290798D8" w:rsidR="00893E3A" w:rsidRPr="00BA784D" w:rsidRDefault="00FD4F8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"https://www.inegi.org.mx/programas/cntaippdpf/2020/" </w:instrText>
            </w:r>
            <w:r>
              <w:rPr>
                <w:rFonts w:ascii="Times New Roman" w:eastAsia="Times New Roman" w:hAnsi="Times New Roman" w:cs="Times New Roman"/>
                <w:sz w:val="24"/>
                <w:szCs w:val="24"/>
              </w:rPr>
              <w:fldChar w:fldCharType="separate"/>
            </w:r>
            <w:r w:rsidR="00456906" w:rsidRPr="00FD4F8F">
              <w:rPr>
                <w:rStyle w:val="Hipervnculo"/>
                <w:rFonts w:ascii="Times New Roman" w:eastAsia="Times New Roman" w:hAnsi="Times New Roman" w:cs="Times New Roman"/>
                <w:sz w:val="24"/>
                <w:szCs w:val="24"/>
              </w:rPr>
              <w:t>https://www.inegi.org.mx/programas/cntaippdpf/2020/</w:t>
            </w:r>
            <w:r>
              <w:rPr>
                <w:rFonts w:ascii="Times New Roman" w:eastAsia="Times New Roman" w:hAnsi="Times New Roman" w:cs="Times New Roman"/>
                <w:sz w:val="24"/>
                <w:szCs w:val="24"/>
              </w:rPr>
              <w:fldChar w:fldCharType="end"/>
            </w:r>
            <w:r w:rsidR="00456906" w:rsidRPr="00BA784D">
              <w:rPr>
                <w:rFonts w:ascii="Times New Roman" w:eastAsia="Times New Roman" w:hAnsi="Times New Roman" w:cs="Times New Roman"/>
                <w:sz w:val="24"/>
                <w:szCs w:val="24"/>
              </w:rPr>
              <w:t xml:space="preserve"> </w:t>
            </w:r>
            <w:r w:rsidR="00893E3A" w:rsidRPr="00BA784D">
              <w:rPr>
                <w:rFonts w:ascii="Times New Roman" w:eastAsia="Times New Roman" w:hAnsi="Times New Roman" w:cs="Times New Roman"/>
                <w:sz w:val="24"/>
                <w:szCs w:val="24"/>
              </w:rPr>
              <w:t xml:space="preserve">y </w:t>
            </w:r>
            <w:hyperlink r:id="rId26" w:history="1">
              <w:r w:rsidR="00456906" w:rsidRPr="00FD4F8F">
                <w:rPr>
                  <w:rStyle w:val="Hipervnculo"/>
                  <w:rFonts w:ascii="Times New Roman" w:eastAsia="Times New Roman" w:hAnsi="Times New Roman" w:cs="Times New Roman"/>
                  <w:sz w:val="24"/>
                  <w:szCs w:val="24"/>
                </w:rPr>
                <w:t>https://www.inegi.org.mx/programas/cntaippdpe/2020/</w:t>
              </w:r>
              <w:bookmarkEnd w:id="52"/>
            </w:hyperlink>
          </w:p>
        </w:tc>
      </w:tr>
      <w:tr w:rsidR="00E35B30" w:rsidRPr="00BA784D" w14:paraId="232388BF" w14:textId="77777777">
        <w:trPr>
          <w:trHeight w:val="397"/>
        </w:trPr>
        <w:tc>
          <w:tcPr>
            <w:tcW w:w="1969" w:type="dxa"/>
            <w:vAlign w:val="center"/>
          </w:tcPr>
          <w:p w14:paraId="27BB95DD" w14:textId="3BA82D3B" w:rsidR="00E35B30" w:rsidRPr="00BA784D" w:rsidRDefault="0036612A">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2022 (</w:t>
            </w:r>
            <w:r w:rsidR="00017507" w:rsidRPr="00BA784D">
              <w:rPr>
                <w:rFonts w:ascii="Times New Roman" w:eastAsia="Times New Roman" w:hAnsi="Times New Roman" w:cs="Times New Roman"/>
                <w:smallCaps/>
                <w:sz w:val="24"/>
                <w:szCs w:val="24"/>
              </w:rPr>
              <w:t>CNTAIPPDP</w:t>
            </w:r>
            <w:r w:rsidR="00893E3A" w:rsidRPr="00BA784D">
              <w:rPr>
                <w:rFonts w:ascii="Times New Roman" w:eastAsia="Times New Roman" w:hAnsi="Times New Roman" w:cs="Times New Roman"/>
                <w:smallCaps/>
                <w:sz w:val="24"/>
                <w:szCs w:val="24"/>
              </w:rPr>
              <w:t>F y CNTAIPPDPE</w:t>
            </w:r>
            <w:r w:rsidRPr="00BA784D">
              <w:rPr>
                <w:rFonts w:ascii="Times New Roman" w:eastAsia="Times New Roman" w:hAnsi="Times New Roman" w:cs="Times New Roman"/>
                <w:smallCaps/>
                <w:sz w:val="24"/>
                <w:szCs w:val="24"/>
              </w:rPr>
              <w:t xml:space="preserve"> 2023)</w:t>
            </w:r>
          </w:p>
        </w:tc>
        <w:tc>
          <w:tcPr>
            <w:tcW w:w="6859" w:type="dxa"/>
            <w:vAlign w:val="center"/>
          </w:tcPr>
          <w:p w14:paraId="6270F994"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65-70%</w:t>
            </w:r>
          </w:p>
        </w:tc>
      </w:tr>
      <w:tr w:rsidR="00E35B30" w:rsidRPr="00BA784D" w14:paraId="4D43837A" w14:textId="77777777">
        <w:trPr>
          <w:trHeight w:val="397"/>
        </w:trPr>
        <w:tc>
          <w:tcPr>
            <w:tcW w:w="1969" w:type="dxa"/>
            <w:vAlign w:val="center"/>
          </w:tcPr>
          <w:p w14:paraId="2541C308" w14:textId="3DDC1390" w:rsidR="00E35B30" w:rsidRPr="00BA784D" w:rsidRDefault="0036612A">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2023 (</w:t>
            </w:r>
            <w:r w:rsidR="00017507" w:rsidRPr="00BA784D">
              <w:rPr>
                <w:rFonts w:ascii="Times New Roman" w:eastAsia="Times New Roman" w:hAnsi="Times New Roman" w:cs="Times New Roman"/>
                <w:smallCaps/>
                <w:sz w:val="24"/>
                <w:szCs w:val="24"/>
              </w:rPr>
              <w:t>CNTAIPPDP</w:t>
            </w:r>
            <w:r w:rsidR="00893E3A" w:rsidRPr="00BA784D">
              <w:rPr>
                <w:rFonts w:ascii="Times New Roman" w:eastAsia="Times New Roman" w:hAnsi="Times New Roman" w:cs="Times New Roman"/>
                <w:smallCaps/>
                <w:sz w:val="24"/>
                <w:szCs w:val="24"/>
              </w:rPr>
              <w:t>F y CNTAIPPDPE</w:t>
            </w:r>
            <w:r w:rsidRPr="00BA784D">
              <w:rPr>
                <w:rFonts w:ascii="Times New Roman" w:eastAsia="Times New Roman" w:hAnsi="Times New Roman" w:cs="Times New Roman"/>
                <w:smallCaps/>
                <w:sz w:val="24"/>
                <w:szCs w:val="24"/>
              </w:rPr>
              <w:t xml:space="preserve"> 2024)</w:t>
            </w:r>
          </w:p>
        </w:tc>
        <w:tc>
          <w:tcPr>
            <w:tcW w:w="6859" w:type="dxa"/>
            <w:vAlign w:val="center"/>
          </w:tcPr>
          <w:p w14:paraId="66E3D3DC"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80-85%</w:t>
            </w:r>
          </w:p>
        </w:tc>
      </w:tr>
      <w:tr w:rsidR="00E35B30" w:rsidRPr="00BA784D" w14:paraId="1330BC68" w14:textId="77777777">
        <w:trPr>
          <w:trHeight w:val="397"/>
        </w:trPr>
        <w:tc>
          <w:tcPr>
            <w:tcW w:w="1969" w:type="dxa"/>
            <w:vAlign w:val="center"/>
          </w:tcPr>
          <w:p w14:paraId="3217B005" w14:textId="3EE76111" w:rsidR="00E35B30" w:rsidRPr="00BA784D" w:rsidRDefault="0036612A">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2024 (</w:t>
            </w:r>
            <w:r w:rsidR="00017507" w:rsidRPr="00BA784D">
              <w:rPr>
                <w:rFonts w:ascii="Times New Roman" w:eastAsia="Times New Roman" w:hAnsi="Times New Roman" w:cs="Times New Roman"/>
                <w:smallCaps/>
                <w:sz w:val="24"/>
                <w:szCs w:val="24"/>
              </w:rPr>
              <w:t>CNTAIPPDP</w:t>
            </w:r>
            <w:r w:rsidR="00893E3A" w:rsidRPr="00BA784D">
              <w:rPr>
                <w:rFonts w:ascii="Times New Roman" w:eastAsia="Times New Roman" w:hAnsi="Times New Roman" w:cs="Times New Roman"/>
                <w:smallCaps/>
                <w:sz w:val="24"/>
                <w:szCs w:val="24"/>
              </w:rPr>
              <w:t>F y CNTAIPPDPE</w:t>
            </w:r>
            <w:r w:rsidRPr="00BA784D">
              <w:rPr>
                <w:rFonts w:ascii="Times New Roman" w:eastAsia="Times New Roman" w:hAnsi="Times New Roman" w:cs="Times New Roman"/>
                <w:smallCaps/>
                <w:sz w:val="24"/>
                <w:szCs w:val="24"/>
              </w:rPr>
              <w:t xml:space="preserve"> </w:t>
            </w:r>
            <w:r w:rsidRPr="00BA784D">
              <w:rPr>
                <w:rFonts w:ascii="Times New Roman" w:eastAsia="Times New Roman" w:hAnsi="Times New Roman" w:cs="Times New Roman"/>
                <w:smallCaps/>
                <w:sz w:val="24"/>
                <w:szCs w:val="24"/>
              </w:rPr>
              <w:lastRenderedPageBreak/>
              <w:t>2025)</w:t>
            </w:r>
          </w:p>
        </w:tc>
        <w:tc>
          <w:tcPr>
            <w:tcW w:w="6859" w:type="dxa"/>
            <w:vAlign w:val="center"/>
          </w:tcPr>
          <w:p w14:paraId="51C87B58" w14:textId="1AEE786F"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90-100%</w:t>
            </w:r>
            <w:r w:rsidR="00FC2A4F" w:rsidRPr="00BA784D">
              <w:rPr>
                <w:rFonts w:ascii="Times New Roman" w:eastAsia="Times New Roman" w:hAnsi="Times New Roman" w:cs="Times New Roman"/>
                <w:sz w:val="24"/>
                <w:szCs w:val="24"/>
              </w:rPr>
              <w:t xml:space="preserve"> </w:t>
            </w:r>
          </w:p>
        </w:tc>
      </w:tr>
      <w:tr w:rsidR="00E440B1" w:rsidRPr="00BA784D" w14:paraId="66E3635F" w14:textId="77777777">
        <w:trPr>
          <w:trHeight w:val="397"/>
        </w:trPr>
        <w:tc>
          <w:tcPr>
            <w:tcW w:w="1969" w:type="dxa"/>
            <w:vAlign w:val="center"/>
          </w:tcPr>
          <w:p w14:paraId="171772E2" w14:textId="1285E550" w:rsidR="00E440B1" w:rsidRPr="00BA784D" w:rsidRDefault="00E440B1">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2025 (CNTAIPPDPF y CNTAIPPDPE 2026)</w:t>
            </w:r>
          </w:p>
        </w:tc>
        <w:tc>
          <w:tcPr>
            <w:tcW w:w="6859" w:type="dxa"/>
            <w:vAlign w:val="center"/>
          </w:tcPr>
          <w:p w14:paraId="799F1486" w14:textId="0E70071F" w:rsidR="00E440B1" w:rsidRPr="00BA784D" w:rsidRDefault="00C75FCE">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100%</w:t>
            </w:r>
          </w:p>
        </w:tc>
      </w:tr>
      <w:tr w:rsidR="00E440B1" w:rsidRPr="00BA784D" w14:paraId="69E178F9" w14:textId="77777777">
        <w:trPr>
          <w:trHeight w:val="397"/>
        </w:trPr>
        <w:tc>
          <w:tcPr>
            <w:tcW w:w="1969" w:type="dxa"/>
            <w:vAlign w:val="center"/>
          </w:tcPr>
          <w:p w14:paraId="36BDBC0B" w14:textId="722E0D40" w:rsidR="00E440B1" w:rsidRPr="00BA784D" w:rsidRDefault="00E440B1">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2026 (CNTAIPPDPF y CNTAIPPDPE 2027)</w:t>
            </w:r>
          </w:p>
        </w:tc>
        <w:tc>
          <w:tcPr>
            <w:tcW w:w="6859" w:type="dxa"/>
            <w:vAlign w:val="center"/>
          </w:tcPr>
          <w:p w14:paraId="27E3D14F" w14:textId="240BC96E" w:rsidR="00E440B1" w:rsidRPr="00BA784D" w:rsidRDefault="00C75FCE">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100%</w:t>
            </w:r>
          </w:p>
        </w:tc>
      </w:tr>
      <w:tr w:rsidR="00E35B30" w:rsidRPr="00BA784D" w14:paraId="6B6E9960" w14:textId="77777777">
        <w:trPr>
          <w:trHeight w:val="397"/>
        </w:trPr>
        <w:tc>
          <w:tcPr>
            <w:tcW w:w="1969" w:type="dxa"/>
            <w:vAlign w:val="center"/>
          </w:tcPr>
          <w:p w14:paraId="4FB8A8AA" w14:textId="45EBE5AA" w:rsidR="00E35B30" w:rsidRPr="00BA784D" w:rsidRDefault="00FC2A4F">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Observaciones</w:t>
            </w:r>
          </w:p>
        </w:tc>
        <w:tc>
          <w:tcPr>
            <w:tcW w:w="6859" w:type="dxa"/>
            <w:vAlign w:val="center"/>
          </w:tcPr>
          <w:p w14:paraId="7A2B5526"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NOTA DE CAUCIÓN: Para la medición de los avances del presente objetivo se recomienda priorizar la línea de acción 1.1.9 que permita contar con estadísticas confiables y actualizadas para generar nuevos indicadores a nivel de los sujetos obligados. </w:t>
            </w:r>
          </w:p>
        </w:tc>
      </w:tr>
      <w:tr w:rsidR="00CD1DAC" w:rsidRPr="00BA784D" w14:paraId="5190C0A8" w14:textId="77777777">
        <w:trPr>
          <w:trHeight w:val="397"/>
        </w:trPr>
        <w:tc>
          <w:tcPr>
            <w:tcW w:w="1969" w:type="dxa"/>
            <w:vAlign w:val="center"/>
          </w:tcPr>
          <w:p w14:paraId="07B8CF19" w14:textId="4E5B294F" w:rsidR="00FC2A4F" w:rsidRPr="00BA784D" w:rsidRDefault="00FC2A4F" w:rsidP="00FC2A4F">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comportamiento esperado</w:t>
            </w:r>
          </w:p>
        </w:tc>
        <w:tc>
          <w:tcPr>
            <w:tcW w:w="6859" w:type="dxa"/>
            <w:vAlign w:val="center"/>
          </w:tcPr>
          <w:p w14:paraId="57ED9C44" w14:textId="4D839647" w:rsidR="00CD1DAC" w:rsidRPr="00BA784D" w:rsidRDefault="00456906" w:rsidP="00182DB9">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Ascendente</w:t>
            </w:r>
          </w:p>
        </w:tc>
      </w:tr>
    </w:tbl>
    <w:p w14:paraId="0CFEDA69" w14:textId="77777777" w:rsidR="00E35B30" w:rsidRPr="00BA784D" w:rsidRDefault="0036612A">
      <w:pPr>
        <w:spacing w:line="360" w:lineRule="auto"/>
        <w:rPr>
          <w:rFonts w:ascii="Times New Roman" w:eastAsia="Times New Roman" w:hAnsi="Times New Roman" w:cs="Times New Roman"/>
          <w:sz w:val="24"/>
          <w:szCs w:val="24"/>
        </w:rPr>
      </w:pPr>
      <w:r w:rsidRPr="00BA784D">
        <w:br w:type="page"/>
      </w:r>
    </w:p>
    <w:tbl>
      <w:tblPr>
        <w:tblStyle w:val="11"/>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E35B30" w:rsidRPr="00BA784D" w14:paraId="2D2F2BBF" w14:textId="77777777">
        <w:trPr>
          <w:trHeight w:val="397"/>
        </w:trPr>
        <w:tc>
          <w:tcPr>
            <w:tcW w:w="8828" w:type="dxa"/>
            <w:gridSpan w:val="2"/>
          </w:tcPr>
          <w:p w14:paraId="280D9C3A" w14:textId="77777777" w:rsidR="00E35B30" w:rsidRPr="00BA784D" w:rsidRDefault="0036612A">
            <w:pPr>
              <w:pStyle w:val="Ttulo4"/>
              <w:spacing w:line="360" w:lineRule="auto"/>
              <w:ind w:firstLine="100"/>
              <w:jc w:val="both"/>
              <w:rPr>
                <w:rFonts w:ascii="Times New Roman" w:eastAsia="Times New Roman" w:hAnsi="Times New Roman" w:cs="Times New Roman"/>
              </w:rPr>
            </w:pPr>
            <w:bookmarkStart w:id="53" w:name="_Toc102051247"/>
            <w:r w:rsidRPr="00BA784D">
              <w:rPr>
                <w:rFonts w:ascii="Times New Roman" w:eastAsia="Times New Roman" w:hAnsi="Times New Roman" w:cs="Times New Roman"/>
              </w:rPr>
              <w:lastRenderedPageBreak/>
              <w:t>FICHA INDICADOR 2.1. Porcentaje de avance del indicador de Acceso a la Información del Gobierno de la Métrica de Gobierno Abierto</w:t>
            </w:r>
            <w:bookmarkEnd w:id="53"/>
          </w:p>
        </w:tc>
      </w:tr>
      <w:tr w:rsidR="00E35B30" w:rsidRPr="00BA784D" w14:paraId="5D9FA7F0" w14:textId="77777777">
        <w:trPr>
          <w:trHeight w:val="397"/>
        </w:trPr>
        <w:tc>
          <w:tcPr>
            <w:tcW w:w="1969" w:type="dxa"/>
            <w:shd w:val="clear" w:color="auto" w:fill="767171"/>
            <w:vAlign w:val="center"/>
          </w:tcPr>
          <w:p w14:paraId="05AE0D97" w14:textId="77777777" w:rsidR="00E35B30" w:rsidRPr="00BA784D" w:rsidRDefault="0036612A">
            <w:pPr>
              <w:spacing w:line="360" w:lineRule="auto"/>
              <w:jc w:val="center"/>
              <w:rPr>
                <w:rFonts w:ascii="Times New Roman" w:eastAsia="Times New Roman" w:hAnsi="Times New Roman" w:cs="Times New Roman"/>
                <w:color w:val="FFFFFF"/>
                <w:sz w:val="24"/>
                <w:szCs w:val="24"/>
              </w:rPr>
            </w:pPr>
            <w:r w:rsidRPr="00BA784D">
              <w:rPr>
                <w:rFonts w:ascii="Times New Roman" w:eastAsia="Times New Roman" w:hAnsi="Times New Roman" w:cs="Times New Roman"/>
                <w:color w:val="FFFFFF"/>
                <w:sz w:val="24"/>
                <w:szCs w:val="24"/>
              </w:rPr>
              <w:t>ELEMENTO</w:t>
            </w:r>
          </w:p>
        </w:tc>
        <w:tc>
          <w:tcPr>
            <w:tcW w:w="6859" w:type="dxa"/>
            <w:shd w:val="clear" w:color="auto" w:fill="767171"/>
            <w:vAlign w:val="center"/>
          </w:tcPr>
          <w:p w14:paraId="014C0D1C" w14:textId="77777777" w:rsidR="00E35B30" w:rsidRPr="00BA784D" w:rsidRDefault="0036612A">
            <w:pPr>
              <w:spacing w:line="360" w:lineRule="auto"/>
              <w:jc w:val="center"/>
              <w:rPr>
                <w:rFonts w:ascii="Times New Roman" w:eastAsia="Times New Roman" w:hAnsi="Times New Roman" w:cs="Times New Roman"/>
                <w:color w:val="FFFFFF"/>
                <w:sz w:val="24"/>
                <w:szCs w:val="24"/>
              </w:rPr>
            </w:pPr>
            <w:r w:rsidRPr="00BA784D">
              <w:rPr>
                <w:rFonts w:ascii="Times New Roman" w:eastAsia="Times New Roman" w:hAnsi="Times New Roman" w:cs="Times New Roman"/>
                <w:b/>
                <w:color w:val="FFFFFF"/>
                <w:sz w:val="24"/>
                <w:szCs w:val="24"/>
              </w:rPr>
              <w:t>CARACTERÍSTICA</w:t>
            </w:r>
          </w:p>
        </w:tc>
      </w:tr>
      <w:tr w:rsidR="00E35B30" w:rsidRPr="00BA784D" w14:paraId="03BDAA34" w14:textId="77777777">
        <w:trPr>
          <w:trHeight w:val="397"/>
        </w:trPr>
        <w:tc>
          <w:tcPr>
            <w:tcW w:w="1969" w:type="dxa"/>
            <w:vAlign w:val="center"/>
          </w:tcPr>
          <w:p w14:paraId="50FA87F1" w14:textId="77777777" w:rsidR="00E35B30" w:rsidRPr="00BA784D" w:rsidRDefault="0036612A">
            <w:pPr>
              <w:spacing w:line="360" w:lineRule="auto"/>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Eje</w:t>
            </w:r>
          </w:p>
        </w:tc>
        <w:tc>
          <w:tcPr>
            <w:tcW w:w="6859" w:type="dxa"/>
            <w:vAlign w:val="center"/>
          </w:tcPr>
          <w:p w14:paraId="363E011E"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 Derecho de Acceso a la Información.</w:t>
            </w:r>
          </w:p>
        </w:tc>
      </w:tr>
      <w:tr w:rsidR="00E35B30" w:rsidRPr="00BA784D" w14:paraId="49BC3111" w14:textId="77777777">
        <w:trPr>
          <w:trHeight w:val="397"/>
        </w:trPr>
        <w:tc>
          <w:tcPr>
            <w:tcW w:w="1969" w:type="dxa"/>
            <w:vAlign w:val="center"/>
          </w:tcPr>
          <w:p w14:paraId="1E373940"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Objetivo</w:t>
            </w:r>
          </w:p>
        </w:tc>
        <w:tc>
          <w:tcPr>
            <w:tcW w:w="6859" w:type="dxa"/>
            <w:vAlign w:val="center"/>
          </w:tcPr>
          <w:p w14:paraId="479C141B"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2.1 Expandir el conocimiento del Derecho de Acceso a la Información Pública como herramienta para el ejercicio de otros derechos fundamentales para una sociedad más justa.</w:t>
            </w:r>
          </w:p>
        </w:tc>
      </w:tr>
      <w:tr w:rsidR="00E35B30" w:rsidRPr="00BA784D" w14:paraId="29B8BFEB" w14:textId="77777777">
        <w:trPr>
          <w:trHeight w:val="397"/>
        </w:trPr>
        <w:tc>
          <w:tcPr>
            <w:tcW w:w="1969" w:type="dxa"/>
            <w:vAlign w:val="center"/>
          </w:tcPr>
          <w:p w14:paraId="53B32A2C"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Descripción general</w:t>
            </w:r>
          </w:p>
        </w:tc>
        <w:tc>
          <w:tcPr>
            <w:tcW w:w="6859" w:type="dxa"/>
          </w:tcPr>
          <w:p w14:paraId="1B65C163" w14:textId="0CB94836" w:rsidR="00E35B30" w:rsidRPr="00BA784D" w:rsidRDefault="00DF54A3">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Revisión de las respuestas de sujetos obligados a las solicitudes de acceso a la información realizadas en un periodo dado analizando el cumplimiento del plazo legal, la existencia de una respuesta, y la frecuencia del uso de prórroga</w:t>
            </w:r>
            <w:r w:rsidR="0036612A" w:rsidRPr="00BA784D">
              <w:rPr>
                <w:rFonts w:ascii="Times New Roman" w:eastAsia="Times New Roman" w:hAnsi="Times New Roman" w:cs="Times New Roman"/>
                <w:sz w:val="24"/>
                <w:szCs w:val="24"/>
              </w:rPr>
              <w:t>.</w:t>
            </w:r>
          </w:p>
        </w:tc>
      </w:tr>
      <w:tr w:rsidR="00E35B30" w:rsidRPr="00BA784D" w14:paraId="69A70845" w14:textId="77777777" w:rsidTr="00BA784D">
        <w:trPr>
          <w:trHeight w:val="3082"/>
        </w:trPr>
        <w:tc>
          <w:tcPr>
            <w:tcW w:w="1969" w:type="dxa"/>
          </w:tcPr>
          <w:p w14:paraId="2FA762C1"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Método de cálculo</w:t>
            </w:r>
          </w:p>
        </w:tc>
        <w:tc>
          <w:tcPr>
            <w:tcW w:w="6859" w:type="dxa"/>
          </w:tcPr>
          <w:p w14:paraId="6749B168"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noProof/>
                <w:sz w:val="24"/>
                <w:szCs w:val="24"/>
              </w:rPr>
              <w:drawing>
                <wp:inline distT="114300" distB="114300" distL="114300" distR="114300" wp14:anchorId="021B4D29" wp14:editId="6C6BCAC6">
                  <wp:extent cx="1323975" cy="504825"/>
                  <wp:effectExtent l="0" t="0" r="0" b="0"/>
                  <wp:docPr id="9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1323975" cy="504825"/>
                          </a:xfrm>
                          <a:prstGeom prst="rect">
                            <a:avLst/>
                          </a:prstGeom>
                          <a:ln/>
                        </pic:spPr>
                      </pic:pic>
                    </a:graphicData>
                  </a:graphic>
                </wp:inline>
              </w:drawing>
            </w:r>
          </w:p>
          <w:p w14:paraId="775E7AC7" w14:textId="77777777" w:rsidR="00BA784D" w:rsidRPr="00BA784D" w:rsidRDefault="00BA784D" w:rsidP="00BA784D">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Donde:</w:t>
            </w:r>
          </w:p>
          <w:p w14:paraId="1127E3D0" w14:textId="62FF4DF4" w:rsidR="00E35B30" w:rsidRPr="00BA784D" w:rsidRDefault="00E35B30">
            <w:pPr>
              <w:spacing w:line="360" w:lineRule="auto"/>
              <w:jc w:val="both"/>
              <w:rPr>
                <w:rFonts w:ascii="Times New Roman" w:eastAsia="Times New Roman" w:hAnsi="Times New Roman" w:cs="Times New Roman"/>
                <w:sz w:val="24"/>
                <w:szCs w:val="24"/>
              </w:rPr>
            </w:pPr>
          </w:p>
          <w:p w14:paraId="74A1437D" w14:textId="55B21B85" w:rsidR="00E35B30" w:rsidRPr="00BA784D" w:rsidRDefault="0036612A">
            <w:pPr>
              <w:spacing w:line="360" w:lineRule="auto"/>
              <w:jc w:val="both"/>
              <w:rPr>
                <w:rFonts w:ascii="Times New Roman" w:eastAsia="Times New Roman" w:hAnsi="Times New Roman" w:cs="Times New Roman"/>
                <w:sz w:val="24"/>
                <w:szCs w:val="24"/>
              </w:rPr>
            </w:pPr>
            <w:proofErr w:type="spellStart"/>
            <w:proofErr w:type="gramStart"/>
            <w:r w:rsidRPr="00BA784D">
              <w:rPr>
                <w:rFonts w:ascii="Times New Roman" w:eastAsia="Times New Roman" w:hAnsi="Times New Roman" w:cs="Times New Roman"/>
                <w:i/>
                <w:sz w:val="24"/>
                <w:szCs w:val="24"/>
              </w:rPr>
              <w:t>AI</w:t>
            </w:r>
            <w:r w:rsidRPr="00BA784D">
              <w:rPr>
                <w:rFonts w:ascii="Times New Roman" w:eastAsia="Times New Roman" w:hAnsi="Times New Roman" w:cs="Times New Roman"/>
                <w:i/>
                <w:sz w:val="24"/>
                <w:szCs w:val="24"/>
                <w:vertAlign w:val="subscript"/>
              </w:rPr>
              <w:t>t</w:t>
            </w:r>
            <w:proofErr w:type="spellEnd"/>
            <w:r w:rsidRPr="00BA784D">
              <w:rPr>
                <w:rFonts w:ascii="Times New Roman" w:eastAsia="Times New Roman" w:hAnsi="Times New Roman" w:cs="Times New Roman"/>
                <w:sz w:val="24"/>
                <w:szCs w:val="24"/>
                <w:vertAlign w:val="subscript"/>
              </w:rPr>
              <w:t xml:space="preserve"> </w:t>
            </w:r>
            <w:r w:rsidRPr="00BA784D">
              <w:rPr>
                <w:rFonts w:ascii="Times New Roman" w:eastAsia="Times New Roman" w:hAnsi="Times New Roman" w:cs="Times New Roman"/>
                <w:sz w:val="24"/>
                <w:szCs w:val="24"/>
              </w:rPr>
              <w:t>,</w:t>
            </w:r>
            <w:proofErr w:type="gramEnd"/>
            <w:r w:rsidRPr="00BA784D">
              <w:rPr>
                <w:rFonts w:ascii="Times New Roman" w:eastAsia="Times New Roman" w:hAnsi="Times New Roman" w:cs="Times New Roman"/>
                <w:sz w:val="24"/>
                <w:szCs w:val="24"/>
              </w:rPr>
              <w:t xml:space="preserve"> es el Componente de Acceso a la Información de la Métrica de Gobierno Abierto obtenido en el </w:t>
            </w:r>
            <w:proofErr w:type="spellStart"/>
            <w:r w:rsidRPr="00BA784D">
              <w:rPr>
                <w:rFonts w:ascii="Times New Roman" w:eastAsia="Times New Roman" w:hAnsi="Times New Roman" w:cs="Times New Roman"/>
                <w:sz w:val="24"/>
                <w:szCs w:val="24"/>
              </w:rPr>
              <w:t>año</w:t>
            </w:r>
            <w:proofErr w:type="spellEnd"/>
            <w:r w:rsidRPr="00BA784D">
              <w:rPr>
                <w:rFonts w:ascii="Times New Roman" w:eastAsia="Times New Roman" w:hAnsi="Times New Roman" w:cs="Times New Roman"/>
                <w:sz w:val="24"/>
                <w:szCs w:val="24"/>
              </w:rPr>
              <w:t xml:space="preserve"> t de la </w:t>
            </w:r>
            <w:proofErr w:type="spellStart"/>
            <w:r w:rsidRPr="00BA784D">
              <w:rPr>
                <w:rFonts w:ascii="Times New Roman" w:eastAsia="Times New Roman" w:hAnsi="Times New Roman" w:cs="Times New Roman"/>
                <w:sz w:val="24"/>
                <w:szCs w:val="24"/>
              </w:rPr>
              <w:t>Métrica</w:t>
            </w:r>
            <w:proofErr w:type="spellEnd"/>
            <w:r w:rsidRPr="00BA784D">
              <w:rPr>
                <w:rFonts w:ascii="Times New Roman" w:eastAsia="Times New Roman" w:hAnsi="Times New Roman" w:cs="Times New Roman"/>
                <w:sz w:val="24"/>
                <w:szCs w:val="24"/>
              </w:rPr>
              <w:t xml:space="preserve"> del Gobierno Abierto.</w:t>
            </w:r>
          </w:p>
        </w:tc>
      </w:tr>
      <w:tr w:rsidR="00E35B30" w:rsidRPr="00BA784D" w14:paraId="47856E93" w14:textId="77777777">
        <w:trPr>
          <w:trHeight w:val="405"/>
        </w:trPr>
        <w:tc>
          <w:tcPr>
            <w:tcW w:w="1969" w:type="dxa"/>
            <w:vAlign w:val="center"/>
          </w:tcPr>
          <w:p w14:paraId="47F534A1"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Periodicidad</w:t>
            </w:r>
          </w:p>
        </w:tc>
        <w:tc>
          <w:tcPr>
            <w:tcW w:w="6859" w:type="dxa"/>
            <w:vAlign w:val="center"/>
          </w:tcPr>
          <w:p w14:paraId="24F0DE1B"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Bienal.</w:t>
            </w:r>
          </w:p>
        </w:tc>
      </w:tr>
      <w:tr w:rsidR="00E35B30" w:rsidRPr="00BA784D" w14:paraId="730B172B" w14:textId="77777777">
        <w:trPr>
          <w:trHeight w:val="397"/>
        </w:trPr>
        <w:tc>
          <w:tcPr>
            <w:tcW w:w="1969" w:type="dxa"/>
            <w:vAlign w:val="center"/>
          </w:tcPr>
          <w:p w14:paraId="64EFE327"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Medios de verificación</w:t>
            </w:r>
          </w:p>
        </w:tc>
        <w:tc>
          <w:tcPr>
            <w:tcW w:w="6859"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61EA42A1" w14:textId="77777777" w:rsidR="00E35B30" w:rsidRPr="00BA784D" w:rsidRDefault="0036612A">
            <w:pPr>
              <w:spacing w:line="360" w:lineRule="auto"/>
              <w:rPr>
                <w:rFonts w:ascii="Times New Roman" w:eastAsia="Times New Roman" w:hAnsi="Times New Roman" w:cs="Times New Roman"/>
                <w:sz w:val="24"/>
                <w:szCs w:val="24"/>
              </w:rPr>
            </w:pPr>
            <w:proofErr w:type="spellStart"/>
            <w:r w:rsidRPr="00BA784D">
              <w:rPr>
                <w:rFonts w:ascii="Times New Roman" w:eastAsia="Times New Roman" w:hAnsi="Times New Roman" w:cs="Times New Roman"/>
                <w:sz w:val="24"/>
                <w:szCs w:val="24"/>
              </w:rPr>
              <w:t>Métrica</w:t>
            </w:r>
            <w:proofErr w:type="spellEnd"/>
            <w:r w:rsidRPr="00BA784D">
              <w:rPr>
                <w:rFonts w:ascii="Times New Roman" w:eastAsia="Times New Roman" w:hAnsi="Times New Roman" w:cs="Times New Roman"/>
                <w:sz w:val="24"/>
                <w:szCs w:val="24"/>
              </w:rPr>
              <w:t xml:space="preserve"> de Gobierno Abierto</w:t>
            </w:r>
          </w:p>
        </w:tc>
      </w:tr>
      <w:tr w:rsidR="00E35B30" w:rsidRPr="00BA784D" w14:paraId="73222F65" w14:textId="77777777">
        <w:trPr>
          <w:trHeight w:val="397"/>
        </w:trPr>
        <w:tc>
          <w:tcPr>
            <w:tcW w:w="1969" w:type="dxa"/>
            <w:vAlign w:val="center"/>
          </w:tcPr>
          <w:p w14:paraId="0B84B00E"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Reactivos utilizados</w:t>
            </w:r>
          </w:p>
        </w:tc>
        <w:tc>
          <w:tcPr>
            <w:tcW w:w="6859" w:type="dxa"/>
            <w:tcBorders>
              <w:top w:val="nil"/>
              <w:left w:val="single" w:sz="8" w:space="0" w:color="666666"/>
              <w:bottom w:val="single" w:sz="8" w:space="0" w:color="666666"/>
              <w:right w:val="single" w:sz="8" w:space="0" w:color="666666"/>
            </w:tcBorders>
            <w:tcMar>
              <w:top w:w="100" w:type="dxa"/>
              <w:left w:w="100" w:type="dxa"/>
              <w:bottom w:w="100" w:type="dxa"/>
              <w:right w:w="100" w:type="dxa"/>
            </w:tcMar>
          </w:tcPr>
          <w:p w14:paraId="7C62BE0F"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Proporción del cambio entre mediciones de resultados del Componente de Acceso a la Información de la Métrica de Gobierno Abierto.</w:t>
            </w:r>
          </w:p>
        </w:tc>
      </w:tr>
      <w:tr w:rsidR="00E35B30" w:rsidRPr="00BA784D" w14:paraId="21EEB74C" w14:textId="77777777">
        <w:trPr>
          <w:trHeight w:val="397"/>
        </w:trPr>
        <w:tc>
          <w:tcPr>
            <w:tcW w:w="1969" w:type="dxa"/>
            <w:vAlign w:val="center"/>
          </w:tcPr>
          <w:p w14:paraId="01812FE7" w14:textId="77777777" w:rsidR="00E35B30" w:rsidRPr="00BA784D" w:rsidRDefault="0036612A">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 xml:space="preserve">Actores </w:t>
            </w:r>
            <w:r w:rsidRPr="00BA784D">
              <w:rPr>
                <w:rFonts w:ascii="Times New Roman" w:eastAsia="Times New Roman" w:hAnsi="Times New Roman" w:cs="Times New Roman"/>
                <w:smallCaps/>
                <w:sz w:val="24"/>
                <w:szCs w:val="24"/>
              </w:rPr>
              <w:lastRenderedPageBreak/>
              <w:t>vinculados con el indicador</w:t>
            </w:r>
          </w:p>
        </w:tc>
        <w:tc>
          <w:tcPr>
            <w:tcW w:w="6859" w:type="dxa"/>
            <w:tcBorders>
              <w:top w:val="nil"/>
              <w:left w:val="single" w:sz="8" w:space="0" w:color="666666"/>
              <w:bottom w:val="single" w:sz="8" w:space="0" w:color="666666"/>
              <w:right w:val="single" w:sz="8" w:space="0" w:color="666666"/>
            </w:tcBorders>
            <w:tcMar>
              <w:top w:w="100" w:type="dxa"/>
              <w:left w:w="100" w:type="dxa"/>
              <w:bottom w:w="100" w:type="dxa"/>
              <w:right w:w="100" w:type="dxa"/>
            </w:tcMar>
            <w:vAlign w:val="center"/>
          </w:tcPr>
          <w:p w14:paraId="54176E49"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Organismos Garantes.</w:t>
            </w:r>
          </w:p>
        </w:tc>
      </w:tr>
      <w:tr w:rsidR="00E35B30" w:rsidRPr="00BA784D" w14:paraId="3AF63E22" w14:textId="77777777">
        <w:trPr>
          <w:trHeight w:val="397"/>
        </w:trPr>
        <w:tc>
          <w:tcPr>
            <w:tcW w:w="1969" w:type="dxa"/>
            <w:vAlign w:val="center"/>
          </w:tcPr>
          <w:p w14:paraId="5DFA9634" w14:textId="77777777" w:rsidR="00E35B30" w:rsidRPr="00BA784D" w:rsidRDefault="0036612A">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Línea base</w:t>
            </w:r>
          </w:p>
        </w:tc>
        <w:tc>
          <w:tcPr>
            <w:tcW w:w="6859" w:type="dxa"/>
            <w:tcBorders>
              <w:top w:val="nil"/>
              <w:left w:val="single" w:sz="8" w:space="0" w:color="666666"/>
              <w:bottom w:val="single" w:sz="8" w:space="0" w:color="666666"/>
              <w:right w:val="single" w:sz="8" w:space="0" w:color="666666"/>
            </w:tcBorders>
            <w:tcMar>
              <w:top w:w="100" w:type="dxa"/>
              <w:left w:w="100" w:type="dxa"/>
              <w:bottom w:w="100" w:type="dxa"/>
              <w:right w:w="100" w:type="dxa"/>
            </w:tcMar>
          </w:tcPr>
          <w:p w14:paraId="65EE25F5" w14:textId="77777777" w:rsidR="00FD4F8F"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25.37%</w:t>
            </w:r>
            <w:r w:rsidR="00D120D2" w:rsidRPr="00BA784D">
              <w:rPr>
                <w:rFonts w:ascii="Times New Roman" w:eastAsia="Times New Roman" w:hAnsi="Times New Roman" w:cs="Times New Roman"/>
                <w:sz w:val="24"/>
                <w:szCs w:val="24"/>
              </w:rPr>
              <w:t xml:space="preserve"> </w:t>
            </w:r>
          </w:p>
          <w:p w14:paraId="7161408C" w14:textId="035B7041" w:rsidR="00E35B30" w:rsidRPr="00BA784D" w:rsidRDefault="00D01115">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br/>
            </w:r>
            <w:bookmarkStart w:id="54" w:name="_Hlk97207434"/>
            <w:r w:rsidR="00FD4F8F">
              <w:rPr>
                <w:rFonts w:ascii="Times New Roman" w:eastAsia="Times New Roman" w:hAnsi="Times New Roman" w:cs="Times New Roman"/>
                <w:sz w:val="24"/>
                <w:szCs w:val="24"/>
              </w:rPr>
              <w:fldChar w:fldCharType="begin"/>
            </w:r>
            <w:r w:rsidR="00FD4F8F">
              <w:rPr>
                <w:rFonts w:ascii="Times New Roman" w:eastAsia="Times New Roman" w:hAnsi="Times New Roman" w:cs="Times New Roman"/>
                <w:sz w:val="24"/>
                <w:szCs w:val="24"/>
              </w:rPr>
              <w:instrText xml:space="preserve"> HYPERLINK "https://micrositios.inai.org.mx/gobiernoabierto/?page_id=5765" </w:instrText>
            </w:r>
            <w:r w:rsidR="00FD4F8F">
              <w:rPr>
                <w:rFonts w:ascii="Times New Roman" w:eastAsia="Times New Roman" w:hAnsi="Times New Roman" w:cs="Times New Roman"/>
                <w:sz w:val="24"/>
                <w:szCs w:val="24"/>
              </w:rPr>
              <w:fldChar w:fldCharType="separate"/>
            </w:r>
            <w:r w:rsidR="005E6FEB" w:rsidRPr="00FD4F8F">
              <w:rPr>
                <w:rStyle w:val="Hipervnculo"/>
                <w:rFonts w:ascii="Times New Roman" w:eastAsia="Times New Roman" w:hAnsi="Times New Roman" w:cs="Times New Roman"/>
                <w:sz w:val="24"/>
                <w:szCs w:val="24"/>
              </w:rPr>
              <w:t>https://micrositios.inai.org.mx/gobiernoabierto/?page_id=5765</w:t>
            </w:r>
            <w:bookmarkEnd w:id="54"/>
            <w:r w:rsidR="00FD4F8F">
              <w:rPr>
                <w:rFonts w:ascii="Times New Roman" w:eastAsia="Times New Roman" w:hAnsi="Times New Roman" w:cs="Times New Roman"/>
                <w:sz w:val="24"/>
                <w:szCs w:val="24"/>
              </w:rPr>
              <w:fldChar w:fldCharType="end"/>
            </w:r>
          </w:p>
        </w:tc>
      </w:tr>
      <w:tr w:rsidR="00E35B30" w:rsidRPr="00BA784D" w14:paraId="5089BB3A" w14:textId="77777777">
        <w:trPr>
          <w:trHeight w:val="397"/>
        </w:trPr>
        <w:tc>
          <w:tcPr>
            <w:tcW w:w="1969" w:type="dxa"/>
            <w:vAlign w:val="center"/>
          </w:tcPr>
          <w:p w14:paraId="13BA812F" w14:textId="77777777" w:rsidR="00E35B30" w:rsidRPr="00BA784D" w:rsidRDefault="0036612A">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 xml:space="preserve">Meta 2023 </w:t>
            </w:r>
          </w:p>
        </w:tc>
        <w:tc>
          <w:tcPr>
            <w:tcW w:w="6859" w:type="dxa"/>
            <w:vAlign w:val="center"/>
          </w:tcPr>
          <w:p w14:paraId="74FAB1F3"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10%</w:t>
            </w:r>
          </w:p>
        </w:tc>
      </w:tr>
      <w:tr w:rsidR="00E35B30" w:rsidRPr="00BA784D" w14:paraId="11C4FD09" w14:textId="77777777">
        <w:trPr>
          <w:trHeight w:val="397"/>
        </w:trPr>
        <w:tc>
          <w:tcPr>
            <w:tcW w:w="1969" w:type="dxa"/>
            <w:vAlign w:val="center"/>
          </w:tcPr>
          <w:p w14:paraId="4EE074F7" w14:textId="77777777" w:rsidR="00E35B30" w:rsidRPr="00BA784D" w:rsidRDefault="0036612A">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2025</w:t>
            </w:r>
          </w:p>
        </w:tc>
        <w:tc>
          <w:tcPr>
            <w:tcW w:w="6859" w:type="dxa"/>
            <w:vAlign w:val="center"/>
          </w:tcPr>
          <w:p w14:paraId="13F3F9DB"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10%</w:t>
            </w:r>
          </w:p>
        </w:tc>
      </w:tr>
      <w:tr w:rsidR="00C75FCE" w:rsidRPr="00BA784D" w14:paraId="285B0AEE" w14:textId="77777777">
        <w:trPr>
          <w:trHeight w:val="397"/>
        </w:trPr>
        <w:tc>
          <w:tcPr>
            <w:tcW w:w="1969" w:type="dxa"/>
            <w:vAlign w:val="center"/>
          </w:tcPr>
          <w:p w14:paraId="75881F81" w14:textId="10F786FB" w:rsidR="00C75FCE" w:rsidRPr="00BA784D" w:rsidRDefault="00C75FCE">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2027</w:t>
            </w:r>
          </w:p>
        </w:tc>
        <w:tc>
          <w:tcPr>
            <w:tcW w:w="6859" w:type="dxa"/>
            <w:vAlign w:val="center"/>
          </w:tcPr>
          <w:p w14:paraId="022D8BDB" w14:textId="74724CED" w:rsidR="00C75FCE" w:rsidRPr="00BA784D" w:rsidRDefault="00C75FCE">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5-10%</w:t>
            </w:r>
          </w:p>
        </w:tc>
      </w:tr>
      <w:tr w:rsidR="00E35B30" w:rsidRPr="00BA784D" w14:paraId="17B4ADE4" w14:textId="77777777">
        <w:trPr>
          <w:trHeight w:val="397"/>
        </w:trPr>
        <w:tc>
          <w:tcPr>
            <w:tcW w:w="1969" w:type="dxa"/>
            <w:vAlign w:val="center"/>
          </w:tcPr>
          <w:p w14:paraId="4D2BF7C5" w14:textId="77777777" w:rsidR="00E35B30" w:rsidRPr="00BA784D" w:rsidRDefault="0036612A">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Observaciones</w:t>
            </w:r>
          </w:p>
        </w:tc>
        <w:tc>
          <w:tcPr>
            <w:tcW w:w="6859"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ACD0E92"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En caso de falta de disponibilidad del instrumento de “Métrica de Gobierno Abierto” es posible utilizar datos del ENAID para calcular el Porcentaje estimado de población mayor a 18 años que conoce o ha escuchado sobre la existencia de una Ley en materia de transparencia</w:t>
            </w:r>
            <w:r w:rsidRPr="00BA784D">
              <w:rPr>
                <w:rFonts w:ascii="Times New Roman" w:eastAsia="Times New Roman" w:hAnsi="Times New Roman" w:cs="Times New Roman"/>
                <w:b/>
                <w:sz w:val="24"/>
                <w:szCs w:val="24"/>
              </w:rPr>
              <w:t xml:space="preserve"> </w:t>
            </w:r>
            <w:r w:rsidRPr="00BA784D">
              <w:rPr>
                <w:rFonts w:ascii="Times New Roman" w:eastAsia="Times New Roman" w:hAnsi="Times New Roman" w:cs="Times New Roman"/>
                <w:sz w:val="24"/>
                <w:szCs w:val="24"/>
              </w:rPr>
              <w:t>como un indicador alterno para el objetivo estratégico.</w:t>
            </w:r>
          </w:p>
        </w:tc>
      </w:tr>
      <w:tr w:rsidR="00FC2A4F" w:rsidRPr="00BA784D" w14:paraId="66ABD09C" w14:textId="77777777" w:rsidTr="00EC37B3">
        <w:trPr>
          <w:trHeight w:val="397"/>
        </w:trPr>
        <w:tc>
          <w:tcPr>
            <w:tcW w:w="1969" w:type="dxa"/>
            <w:vAlign w:val="center"/>
          </w:tcPr>
          <w:p w14:paraId="07808704" w14:textId="5C801D59" w:rsidR="00FC2A4F" w:rsidRPr="00BA784D" w:rsidRDefault="00FC2A4F" w:rsidP="00FC2A4F">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comportamiento esperado</w:t>
            </w:r>
          </w:p>
        </w:tc>
        <w:tc>
          <w:tcPr>
            <w:tcW w:w="6859"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vAlign w:val="center"/>
          </w:tcPr>
          <w:p w14:paraId="68C8492A" w14:textId="3B13FC3C" w:rsidR="00FC2A4F" w:rsidRPr="00BA784D" w:rsidRDefault="0089608F" w:rsidP="00FC2A4F">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Descendente</w:t>
            </w:r>
          </w:p>
        </w:tc>
      </w:tr>
    </w:tbl>
    <w:p w14:paraId="097FB5CF" w14:textId="77777777" w:rsidR="00E35B30" w:rsidRPr="00BA784D" w:rsidRDefault="00E35B30">
      <w:pPr>
        <w:spacing w:line="360" w:lineRule="auto"/>
        <w:rPr>
          <w:rFonts w:ascii="Times New Roman" w:eastAsia="Times New Roman" w:hAnsi="Times New Roman" w:cs="Times New Roman"/>
          <w:sz w:val="24"/>
          <w:szCs w:val="24"/>
        </w:rPr>
      </w:pPr>
    </w:p>
    <w:p w14:paraId="036E7F99" w14:textId="77777777" w:rsidR="00E35B30" w:rsidRPr="00BA784D" w:rsidRDefault="0036612A">
      <w:pPr>
        <w:spacing w:line="360" w:lineRule="auto"/>
        <w:rPr>
          <w:rFonts w:ascii="Times New Roman" w:eastAsia="Times New Roman" w:hAnsi="Times New Roman" w:cs="Times New Roman"/>
          <w:sz w:val="24"/>
          <w:szCs w:val="24"/>
        </w:rPr>
      </w:pPr>
      <w:r w:rsidRPr="00BA784D">
        <w:br w:type="page"/>
      </w:r>
    </w:p>
    <w:tbl>
      <w:tblPr>
        <w:tblStyle w:val="10"/>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E35B30" w:rsidRPr="00BA784D" w14:paraId="48347C11" w14:textId="77777777">
        <w:trPr>
          <w:trHeight w:val="397"/>
        </w:trPr>
        <w:tc>
          <w:tcPr>
            <w:tcW w:w="8828" w:type="dxa"/>
            <w:gridSpan w:val="2"/>
            <w:vAlign w:val="center"/>
          </w:tcPr>
          <w:p w14:paraId="4121C94E" w14:textId="576D9961" w:rsidR="00E35B30" w:rsidRPr="00BA784D" w:rsidRDefault="0036612A">
            <w:pPr>
              <w:pStyle w:val="Ttulo4"/>
              <w:spacing w:line="360" w:lineRule="auto"/>
              <w:ind w:firstLine="100"/>
              <w:jc w:val="both"/>
              <w:rPr>
                <w:rFonts w:ascii="Times New Roman" w:eastAsia="Times New Roman" w:hAnsi="Times New Roman" w:cs="Times New Roman"/>
              </w:rPr>
            </w:pPr>
            <w:bookmarkStart w:id="55" w:name="_Toc102051248"/>
            <w:r w:rsidRPr="00BA784D">
              <w:rPr>
                <w:rFonts w:ascii="Times New Roman" w:eastAsia="Times New Roman" w:hAnsi="Times New Roman" w:cs="Times New Roman"/>
              </w:rPr>
              <w:lastRenderedPageBreak/>
              <w:t xml:space="preserve">FICHA INDICADOR 3.1. Porcentaje de avance del </w:t>
            </w:r>
            <w:r w:rsidR="003F46B4" w:rsidRPr="00BA784D">
              <w:rPr>
                <w:rFonts w:ascii="Times New Roman" w:eastAsia="Times New Roman" w:hAnsi="Times New Roman" w:cs="Times New Roman"/>
              </w:rPr>
              <w:t>Subí</w:t>
            </w:r>
            <w:r w:rsidRPr="00BA784D">
              <w:rPr>
                <w:rFonts w:ascii="Times New Roman" w:eastAsia="Times New Roman" w:hAnsi="Times New Roman" w:cs="Times New Roman"/>
              </w:rPr>
              <w:t xml:space="preserve">ndice de </w:t>
            </w:r>
            <w:r w:rsidR="003F46B4" w:rsidRPr="00BA784D">
              <w:rPr>
                <w:rFonts w:ascii="Times New Roman" w:eastAsia="Times New Roman" w:hAnsi="Times New Roman" w:cs="Times New Roman"/>
              </w:rPr>
              <w:t xml:space="preserve">Participación </w:t>
            </w:r>
            <w:r w:rsidRPr="00BA784D">
              <w:rPr>
                <w:rFonts w:ascii="Times New Roman" w:eastAsia="Times New Roman" w:hAnsi="Times New Roman" w:cs="Times New Roman"/>
              </w:rPr>
              <w:t>de la Métrica de Gobierno Abierto.</w:t>
            </w:r>
            <w:bookmarkEnd w:id="55"/>
          </w:p>
        </w:tc>
      </w:tr>
      <w:tr w:rsidR="00E35B30" w:rsidRPr="00BA784D" w14:paraId="24224BC7" w14:textId="77777777">
        <w:trPr>
          <w:trHeight w:val="397"/>
        </w:trPr>
        <w:tc>
          <w:tcPr>
            <w:tcW w:w="1969" w:type="dxa"/>
            <w:shd w:val="clear" w:color="auto" w:fill="767171"/>
            <w:vAlign w:val="center"/>
          </w:tcPr>
          <w:p w14:paraId="20888400"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color w:val="FFFFFF"/>
                <w:sz w:val="24"/>
                <w:szCs w:val="24"/>
              </w:rPr>
              <w:t>ELEMENTO</w:t>
            </w:r>
          </w:p>
        </w:tc>
        <w:tc>
          <w:tcPr>
            <w:tcW w:w="6859" w:type="dxa"/>
            <w:shd w:val="clear" w:color="auto" w:fill="767171"/>
            <w:vAlign w:val="center"/>
          </w:tcPr>
          <w:p w14:paraId="303CB617" w14:textId="77777777" w:rsidR="00E35B30" w:rsidRPr="00BA784D" w:rsidRDefault="0036612A">
            <w:pPr>
              <w:spacing w:line="360" w:lineRule="auto"/>
              <w:jc w:val="center"/>
              <w:rPr>
                <w:rFonts w:ascii="Times New Roman" w:eastAsia="Times New Roman" w:hAnsi="Times New Roman" w:cs="Times New Roman"/>
                <w:color w:val="FFFFFF"/>
                <w:sz w:val="24"/>
                <w:szCs w:val="24"/>
              </w:rPr>
            </w:pPr>
            <w:r w:rsidRPr="00BA784D">
              <w:rPr>
                <w:rFonts w:ascii="Times New Roman" w:eastAsia="Times New Roman" w:hAnsi="Times New Roman" w:cs="Times New Roman"/>
                <w:b/>
                <w:color w:val="FFFFFF"/>
                <w:sz w:val="24"/>
                <w:szCs w:val="24"/>
              </w:rPr>
              <w:t>CARACTERÍSTICA</w:t>
            </w:r>
          </w:p>
        </w:tc>
      </w:tr>
      <w:tr w:rsidR="00E35B30" w:rsidRPr="00BA784D" w14:paraId="11FF2C42" w14:textId="77777777">
        <w:trPr>
          <w:trHeight w:val="397"/>
        </w:trPr>
        <w:tc>
          <w:tcPr>
            <w:tcW w:w="1969" w:type="dxa"/>
            <w:vAlign w:val="center"/>
          </w:tcPr>
          <w:p w14:paraId="52C1C657" w14:textId="77777777" w:rsidR="00E35B30" w:rsidRPr="00BA784D" w:rsidRDefault="0036612A">
            <w:pPr>
              <w:spacing w:line="360" w:lineRule="auto"/>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Eje</w:t>
            </w:r>
          </w:p>
        </w:tc>
        <w:tc>
          <w:tcPr>
            <w:tcW w:w="6859" w:type="dxa"/>
            <w:vAlign w:val="center"/>
          </w:tcPr>
          <w:p w14:paraId="6EE2E885"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 Políticas de Transparencia: Estado Abierto, Gobierno Digital, Transparencia Proactiva, SIPOT y Datos Abiertos</w:t>
            </w:r>
          </w:p>
        </w:tc>
      </w:tr>
      <w:tr w:rsidR="00E35B30" w:rsidRPr="00BA784D" w14:paraId="57161C33" w14:textId="77777777">
        <w:trPr>
          <w:trHeight w:val="397"/>
        </w:trPr>
        <w:tc>
          <w:tcPr>
            <w:tcW w:w="1969" w:type="dxa"/>
            <w:vAlign w:val="center"/>
          </w:tcPr>
          <w:p w14:paraId="05518FDC"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Objetivo</w:t>
            </w:r>
          </w:p>
        </w:tc>
        <w:tc>
          <w:tcPr>
            <w:tcW w:w="6859" w:type="dxa"/>
            <w:vAlign w:val="center"/>
          </w:tcPr>
          <w:p w14:paraId="2508A106" w14:textId="3A13104F"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3.1 </w:t>
            </w:r>
            <w:r w:rsidR="003F46B4" w:rsidRPr="00BA784D">
              <w:rPr>
                <w:rFonts w:ascii="Times New Roman" w:eastAsia="Times New Roman" w:hAnsi="Times New Roman" w:cs="Times New Roman"/>
                <w:sz w:val="24"/>
                <w:szCs w:val="24"/>
              </w:rPr>
              <w:t>Actualizar los principios de apertura gubernamental y robustecer el enfoque de Estado Abierto para aumentar la participación en la solución de problemas sociales</w:t>
            </w:r>
            <w:r w:rsidRPr="00BA784D">
              <w:rPr>
                <w:rFonts w:ascii="Times New Roman" w:eastAsia="Times New Roman" w:hAnsi="Times New Roman" w:cs="Times New Roman"/>
                <w:sz w:val="24"/>
                <w:szCs w:val="24"/>
              </w:rPr>
              <w:t>.</w:t>
            </w:r>
          </w:p>
        </w:tc>
      </w:tr>
      <w:tr w:rsidR="00E35B30" w:rsidRPr="00BA784D" w14:paraId="4BD61BE3" w14:textId="77777777">
        <w:trPr>
          <w:trHeight w:val="397"/>
        </w:trPr>
        <w:tc>
          <w:tcPr>
            <w:tcW w:w="1969" w:type="dxa"/>
            <w:vAlign w:val="center"/>
          </w:tcPr>
          <w:p w14:paraId="0644B323"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Descripción general</w:t>
            </w:r>
          </w:p>
        </w:tc>
        <w:tc>
          <w:tcPr>
            <w:tcW w:w="6859" w:type="dxa"/>
          </w:tcPr>
          <w:p w14:paraId="1498FAB1" w14:textId="39A4D86F" w:rsidR="00E35B30" w:rsidRPr="00BA784D" w:rsidRDefault="00DF54A3">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A784D">
              <w:rPr>
                <w:rFonts w:ascii="Times New Roman" w:eastAsia="Times New Roman" w:hAnsi="Times New Roman" w:cs="Times New Roman"/>
                <w:sz w:val="24"/>
                <w:szCs w:val="24"/>
              </w:rPr>
              <w:t>Evalúa tanto la existencia y funcionamiento de mecanismos de participación en cada sujeto obligado, como el nivel en el que las personas pueden comunicarse con los sujetos obligados para hacer propuestas sobre su quehacer</w:t>
            </w:r>
            <w:r w:rsidR="0036612A" w:rsidRPr="00BA784D">
              <w:rPr>
                <w:rFonts w:ascii="Times New Roman" w:eastAsia="Times New Roman" w:hAnsi="Times New Roman" w:cs="Times New Roman"/>
                <w:color w:val="000000"/>
                <w:sz w:val="24"/>
                <w:szCs w:val="24"/>
              </w:rPr>
              <w:t>.</w:t>
            </w:r>
          </w:p>
        </w:tc>
      </w:tr>
      <w:tr w:rsidR="00E35B30" w:rsidRPr="00BA784D" w14:paraId="194F311F" w14:textId="77777777" w:rsidTr="00BA784D">
        <w:trPr>
          <w:trHeight w:val="2070"/>
        </w:trPr>
        <w:tc>
          <w:tcPr>
            <w:tcW w:w="1969" w:type="dxa"/>
          </w:tcPr>
          <w:p w14:paraId="6FF8A728"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Método de cálculo</w:t>
            </w:r>
          </w:p>
        </w:tc>
        <w:tc>
          <w:tcPr>
            <w:tcW w:w="6859" w:type="dxa"/>
            <w:shd w:val="clear" w:color="auto" w:fill="auto"/>
          </w:tcPr>
          <w:p w14:paraId="6F72D73A" w14:textId="23B7AC6E" w:rsidR="00BA784D" w:rsidRPr="00BA784D" w:rsidRDefault="0027114E">
            <w:pPr>
              <w:spacing w:line="360" w:lineRule="auto"/>
              <w:jc w:val="center"/>
              <w:rPr>
                <w:rFonts w:ascii="Times New Roman" w:eastAsia="Times New Roman" w:hAnsi="Times New Roman" w:cs="Times New Roman"/>
                <w:sz w:val="24"/>
                <w:szCs w:val="24"/>
              </w:rPr>
            </w:pPr>
            <m:oMathPara>
              <m:oMath>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Af</m:t>
                        </m:r>
                      </m:num>
                      <m:den>
                        <m:r>
                          <w:rPr>
                            <w:rFonts w:ascii="Cambria Math" w:eastAsia="Times New Roman" w:hAnsi="Cambria Math" w:cs="Times New Roman"/>
                            <w:color w:val="000000"/>
                            <w:sz w:val="24"/>
                            <w:szCs w:val="24"/>
                          </w:rPr>
                          <m:t>Ai</m:t>
                        </m:r>
                      </m:den>
                    </m:f>
                    <m:r>
                      <w:rPr>
                        <w:rFonts w:ascii="Cambria Math" w:eastAsia="Times New Roman" w:hAnsi="Cambria Math" w:cs="Times New Roman"/>
                        <w:color w:val="000000"/>
                        <w:sz w:val="24"/>
                        <w:szCs w:val="24"/>
                      </w:rPr>
                      <m:t>-1</m:t>
                    </m:r>
                  </m:e>
                </m:d>
                <m:r>
                  <w:rPr>
                    <w:rFonts w:ascii="Cambria Math" w:eastAsia="Times New Roman" w:hAnsi="Cambria Math" w:cs="Times New Roman"/>
                    <w:color w:val="000000"/>
                    <w:sz w:val="24"/>
                    <w:szCs w:val="24"/>
                  </w:rPr>
                  <m:t>×100</m:t>
                </m:r>
              </m:oMath>
            </m:oMathPara>
          </w:p>
          <w:p w14:paraId="53D854E2" w14:textId="77777777" w:rsidR="00C01EE3" w:rsidRPr="00BA784D" w:rsidRDefault="00C01EE3">
            <w:pPr>
              <w:spacing w:line="360" w:lineRule="auto"/>
              <w:jc w:val="center"/>
              <w:rPr>
                <w:rFonts w:ascii="Times New Roman" w:eastAsia="Times New Roman" w:hAnsi="Times New Roman" w:cs="Times New Roman"/>
                <w:sz w:val="24"/>
                <w:szCs w:val="24"/>
              </w:rPr>
            </w:pPr>
          </w:p>
          <w:p w14:paraId="39EC3884" w14:textId="0B74A871" w:rsidR="005168EB" w:rsidRPr="00BA784D" w:rsidRDefault="0036612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Donde:</w:t>
            </w:r>
          </w:p>
          <w:p w14:paraId="2341DB93" w14:textId="3FC65B0C" w:rsidR="000B06CD" w:rsidRPr="00BA784D" w:rsidRDefault="005168EB">
            <w:pPr>
              <w:pBdr>
                <w:top w:val="nil"/>
                <w:left w:val="nil"/>
                <w:bottom w:val="nil"/>
                <w:right w:val="nil"/>
                <w:between w:val="nil"/>
              </w:pBdr>
              <w:spacing w:line="360" w:lineRule="auto"/>
              <w:rPr>
                <w:rFonts w:ascii="Times New Roman" w:eastAsia="Times New Roman" w:hAnsi="Times New Roman" w:cs="Times New Roman"/>
                <w:sz w:val="24"/>
                <w:szCs w:val="24"/>
              </w:rPr>
            </w:pPr>
            <m:oMath>
              <m:r>
                <w:rPr>
                  <w:rFonts w:ascii="Cambria Math" w:eastAsia="Times New Roman" w:hAnsi="Cambria Math" w:cs="Times New Roman"/>
                  <w:color w:val="000000"/>
                  <w:sz w:val="24"/>
                  <w:szCs w:val="24"/>
                </w:rPr>
                <m:t>Af</m:t>
              </m:r>
            </m:oMath>
            <w:r w:rsidR="0036612A" w:rsidRPr="00BA784D">
              <w:rPr>
                <w:rFonts w:ascii="Times New Roman" w:eastAsia="Times New Roman" w:hAnsi="Times New Roman" w:cs="Times New Roman"/>
                <w:color w:val="000000"/>
                <w:sz w:val="24"/>
                <w:szCs w:val="24"/>
              </w:rPr>
              <w:t>, es el Subíndice de Participación de la Métrica de Gobierno Abierto</w:t>
            </w:r>
            <w:r w:rsidR="00062EC3" w:rsidRPr="00BA784D">
              <w:rPr>
                <w:rFonts w:ascii="Times New Roman" w:eastAsia="Times New Roman" w:hAnsi="Times New Roman" w:cs="Times New Roman"/>
                <w:color w:val="000000"/>
                <w:sz w:val="24"/>
                <w:szCs w:val="24"/>
              </w:rPr>
              <w:t xml:space="preserve"> en el año</w:t>
            </w:r>
            <w:r w:rsidR="0036612A" w:rsidRPr="00BA784D">
              <w:rPr>
                <w:rFonts w:ascii="Times New Roman" w:eastAsia="Times New Roman" w:hAnsi="Times New Roman" w:cs="Times New Roman"/>
                <w:sz w:val="24"/>
                <w:szCs w:val="24"/>
              </w:rPr>
              <w:t xml:space="preserve"> </w:t>
            </w:r>
            <w:r w:rsidR="000B06CD" w:rsidRPr="00BA784D">
              <w:rPr>
                <w:rFonts w:ascii="Times New Roman" w:eastAsia="Times New Roman" w:hAnsi="Times New Roman" w:cs="Times New Roman"/>
                <w:sz w:val="24"/>
                <w:szCs w:val="24"/>
              </w:rPr>
              <w:t xml:space="preserve">final. </w:t>
            </w:r>
          </w:p>
          <w:p w14:paraId="3E45DD7F" w14:textId="07E5B5F7" w:rsidR="00E35B30" w:rsidRPr="00BA784D" w:rsidRDefault="000B06CD">
            <w:pPr>
              <w:pBdr>
                <w:top w:val="nil"/>
                <w:left w:val="nil"/>
                <w:bottom w:val="nil"/>
                <w:right w:val="nil"/>
                <w:between w:val="nil"/>
              </w:pBdr>
              <w:spacing w:line="360" w:lineRule="auto"/>
              <w:rPr>
                <w:rFonts w:ascii="Times New Roman" w:eastAsia="Times New Roman" w:hAnsi="Times New Roman" w:cs="Times New Roman"/>
                <w:sz w:val="24"/>
                <w:szCs w:val="24"/>
              </w:rPr>
            </w:pPr>
            <m:oMath>
              <m:r>
                <w:rPr>
                  <w:rFonts w:ascii="Cambria Math" w:eastAsia="Times New Roman" w:hAnsi="Cambria Math" w:cs="Times New Roman"/>
                  <w:color w:val="000000"/>
                  <w:sz w:val="24"/>
                  <w:szCs w:val="24"/>
                </w:rPr>
                <m:t>Ai</m:t>
              </m:r>
            </m:oMath>
            <w:r w:rsidRPr="00BA784D">
              <w:rPr>
                <w:rFonts w:ascii="Times New Roman" w:eastAsia="Times New Roman" w:hAnsi="Times New Roman" w:cs="Times New Roman"/>
                <w:color w:val="000000"/>
                <w:sz w:val="24"/>
                <w:szCs w:val="24"/>
              </w:rPr>
              <w:t>, es el Subíndice de Participación de la Métrica de Gobierno Abierto</w:t>
            </w:r>
            <w:r w:rsidRPr="00BA784D">
              <w:rPr>
                <w:rFonts w:ascii="Times New Roman" w:eastAsia="Times New Roman" w:hAnsi="Times New Roman" w:cs="Times New Roman"/>
                <w:sz w:val="24"/>
                <w:szCs w:val="24"/>
              </w:rPr>
              <w:t xml:space="preserve"> </w:t>
            </w:r>
            <w:r w:rsidR="00062EC3" w:rsidRPr="00BA784D">
              <w:rPr>
                <w:rFonts w:ascii="Times New Roman" w:eastAsia="Times New Roman" w:hAnsi="Times New Roman" w:cs="Times New Roman"/>
                <w:sz w:val="24"/>
                <w:szCs w:val="24"/>
              </w:rPr>
              <w:t>en el</w:t>
            </w:r>
            <w:r w:rsidRPr="00BA784D">
              <w:rPr>
                <w:rFonts w:ascii="Times New Roman" w:eastAsia="Times New Roman" w:hAnsi="Times New Roman" w:cs="Times New Roman"/>
                <w:sz w:val="24"/>
                <w:szCs w:val="24"/>
              </w:rPr>
              <w:t xml:space="preserve"> </w:t>
            </w:r>
            <w:r w:rsidR="00F6264C" w:rsidRPr="00BA784D">
              <w:rPr>
                <w:rFonts w:ascii="Times New Roman" w:eastAsia="Times New Roman" w:hAnsi="Times New Roman" w:cs="Times New Roman"/>
                <w:sz w:val="24"/>
                <w:szCs w:val="24"/>
              </w:rPr>
              <w:t>año</w:t>
            </w:r>
            <w:r w:rsidRPr="00BA784D">
              <w:rPr>
                <w:rFonts w:ascii="Times New Roman" w:eastAsia="Times New Roman" w:hAnsi="Times New Roman" w:cs="Times New Roman"/>
                <w:sz w:val="24"/>
                <w:szCs w:val="24"/>
              </w:rPr>
              <w:t xml:space="preserve"> de </w:t>
            </w:r>
            <w:r w:rsidR="00062EC3" w:rsidRPr="00BA784D">
              <w:rPr>
                <w:rFonts w:ascii="Times New Roman" w:eastAsia="Times New Roman" w:hAnsi="Times New Roman" w:cs="Times New Roman"/>
                <w:sz w:val="24"/>
                <w:szCs w:val="24"/>
              </w:rPr>
              <w:t xml:space="preserve">inicio de </w:t>
            </w:r>
            <w:r w:rsidRPr="00BA784D">
              <w:rPr>
                <w:rFonts w:ascii="Times New Roman" w:eastAsia="Times New Roman" w:hAnsi="Times New Roman" w:cs="Times New Roman"/>
                <w:sz w:val="24"/>
                <w:szCs w:val="24"/>
              </w:rPr>
              <w:t xml:space="preserve">estudio. </w:t>
            </w:r>
          </w:p>
        </w:tc>
      </w:tr>
      <w:tr w:rsidR="00E35B30" w:rsidRPr="00BA784D" w14:paraId="60CC131C" w14:textId="77777777">
        <w:trPr>
          <w:trHeight w:val="397"/>
        </w:trPr>
        <w:tc>
          <w:tcPr>
            <w:tcW w:w="1969" w:type="dxa"/>
            <w:vAlign w:val="center"/>
          </w:tcPr>
          <w:p w14:paraId="0E1C3FE4"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Periodicidad</w:t>
            </w:r>
          </w:p>
        </w:tc>
        <w:tc>
          <w:tcPr>
            <w:tcW w:w="6859" w:type="dxa"/>
            <w:vAlign w:val="center"/>
          </w:tcPr>
          <w:p w14:paraId="6CCBC832"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Bienal.</w:t>
            </w:r>
          </w:p>
        </w:tc>
      </w:tr>
      <w:tr w:rsidR="00E35B30" w:rsidRPr="00BA784D" w14:paraId="4C8DBB1B" w14:textId="77777777">
        <w:trPr>
          <w:trHeight w:val="397"/>
        </w:trPr>
        <w:tc>
          <w:tcPr>
            <w:tcW w:w="1969" w:type="dxa"/>
            <w:vAlign w:val="center"/>
          </w:tcPr>
          <w:p w14:paraId="1005F736"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Medios de verificación</w:t>
            </w:r>
          </w:p>
        </w:tc>
        <w:tc>
          <w:tcPr>
            <w:tcW w:w="6859" w:type="dxa"/>
            <w:vAlign w:val="center"/>
          </w:tcPr>
          <w:p w14:paraId="4FE98485" w14:textId="77777777"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BA784D">
              <w:rPr>
                <w:rFonts w:ascii="Times New Roman" w:eastAsia="Times New Roman" w:hAnsi="Times New Roman" w:cs="Times New Roman"/>
                <w:color w:val="000000"/>
                <w:sz w:val="24"/>
                <w:szCs w:val="24"/>
              </w:rPr>
              <w:t>Métrica</w:t>
            </w:r>
            <w:proofErr w:type="spellEnd"/>
            <w:r w:rsidRPr="00BA784D">
              <w:rPr>
                <w:rFonts w:ascii="Times New Roman" w:eastAsia="Times New Roman" w:hAnsi="Times New Roman" w:cs="Times New Roman"/>
                <w:color w:val="000000"/>
                <w:sz w:val="24"/>
                <w:szCs w:val="24"/>
              </w:rPr>
              <w:t xml:space="preserve"> de Gobierno Abierto </w:t>
            </w:r>
          </w:p>
        </w:tc>
      </w:tr>
      <w:tr w:rsidR="00E35B30" w:rsidRPr="00BA784D" w14:paraId="56BCC59E" w14:textId="77777777">
        <w:trPr>
          <w:trHeight w:val="397"/>
        </w:trPr>
        <w:tc>
          <w:tcPr>
            <w:tcW w:w="1969" w:type="dxa"/>
            <w:vAlign w:val="center"/>
          </w:tcPr>
          <w:p w14:paraId="744FDE03"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Reactivos utilizados</w:t>
            </w:r>
          </w:p>
        </w:tc>
        <w:tc>
          <w:tcPr>
            <w:tcW w:w="6859" w:type="dxa"/>
            <w:vAlign w:val="center"/>
          </w:tcPr>
          <w:p w14:paraId="370505D0" w14:textId="7AEE62F4"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Proporción del cambio entre</w:t>
            </w:r>
            <w:r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color w:val="000000"/>
                <w:sz w:val="24"/>
                <w:szCs w:val="24"/>
              </w:rPr>
              <w:t xml:space="preserve">mediciones de resultados del </w:t>
            </w:r>
            <w:proofErr w:type="spellStart"/>
            <w:r w:rsidRPr="00BA784D">
              <w:rPr>
                <w:rFonts w:ascii="Times New Roman" w:eastAsia="Times New Roman" w:hAnsi="Times New Roman" w:cs="Times New Roman"/>
                <w:color w:val="000000"/>
                <w:sz w:val="24"/>
                <w:szCs w:val="24"/>
              </w:rPr>
              <w:t>Subíndice</w:t>
            </w:r>
            <w:proofErr w:type="spellEnd"/>
            <w:r w:rsidRPr="00BA784D">
              <w:rPr>
                <w:rFonts w:ascii="Times New Roman" w:eastAsia="Times New Roman" w:hAnsi="Times New Roman" w:cs="Times New Roman"/>
                <w:color w:val="000000"/>
                <w:sz w:val="24"/>
                <w:szCs w:val="24"/>
              </w:rPr>
              <w:t xml:space="preserve"> de </w:t>
            </w:r>
            <w:r w:rsidRPr="00BA784D">
              <w:rPr>
                <w:rFonts w:ascii="Times New Roman" w:eastAsia="Times New Roman" w:hAnsi="Times New Roman" w:cs="Times New Roman"/>
                <w:sz w:val="24"/>
                <w:szCs w:val="24"/>
              </w:rPr>
              <w:t>Participación</w:t>
            </w:r>
            <w:r w:rsidRPr="00BA784D">
              <w:rPr>
                <w:rFonts w:ascii="Times New Roman" w:eastAsia="Times New Roman" w:hAnsi="Times New Roman" w:cs="Times New Roman"/>
                <w:color w:val="000000"/>
                <w:sz w:val="24"/>
                <w:szCs w:val="24"/>
              </w:rPr>
              <w:t xml:space="preserve"> </w:t>
            </w:r>
            <w:r w:rsidRPr="00BA784D">
              <w:rPr>
                <w:rFonts w:ascii="Times New Roman" w:eastAsia="Times New Roman" w:hAnsi="Times New Roman" w:cs="Times New Roman"/>
                <w:sz w:val="24"/>
                <w:szCs w:val="24"/>
              </w:rPr>
              <w:t>de la Mét</w:t>
            </w:r>
            <w:r w:rsidR="0071150A" w:rsidRPr="00BA784D">
              <w:rPr>
                <w:rFonts w:ascii="Times New Roman" w:eastAsia="Times New Roman" w:hAnsi="Times New Roman" w:cs="Times New Roman"/>
                <w:sz w:val="24"/>
                <w:szCs w:val="24"/>
              </w:rPr>
              <w:t>r</w:t>
            </w:r>
            <w:r w:rsidRPr="00BA784D">
              <w:rPr>
                <w:rFonts w:ascii="Times New Roman" w:eastAsia="Times New Roman" w:hAnsi="Times New Roman" w:cs="Times New Roman"/>
                <w:sz w:val="24"/>
                <w:szCs w:val="24"/>
              </w:rPr>
              <w:t>ica de Gobierno Abierto</w:t>
            </w:r>
          </w:p>
        </w:tc>
      </w:tr>
      <w:tr w:rsidR="00E35B30" w:rsidRPr="00BA784D" w14:paraId="377CB631" w14:textId="77777777">
        <w:trPr>
          <w:trHeight w:val="675"/>
        </w:trPr>
        <w:tc>
          <w:tcPr>
            <w:tcW w:w="1969" w:type="dxa"/>
            <w:vAlign w:val="center"/>
          </w:tcPr>
          <w:p w14:paraId="22F61C10" w14:textId="77777777" w:rsidR="00E35B30" w:rsidRPr="00BA784D" w:rsidRDefault="0036612A">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lastRenderedPageBreak/>
              <w:t>Actores vinculados con el indicador</w:t>
            </w:r>
          </w:p>
        </w:tc>
        <w:tc>
          <w:tcPr>
            <w:tcW w:w="6859" w:type="dxa"/>
            <w:vAlign w:val="center"/>
          </w:tcPr>
          <w:p w14:paraId="569F473C"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Organismos Garantes.</w:t>
            </w:r>
          </w:p>
        </w:tc>
      </w:tr>
      <w:tr w:rsidR="00E35B30" w:rsidRPr="00BA784D" w14:paraId="57D285B4" w14:textId="77777777">
        <w:trPr>
          <w:trHeight w:val="397"/>
        </w:trPr>
        <w:tc>
          <w:tcPr>
            <w:tcW w:w="1969" w:type="dxa"/>
            <w:vAlign w:val="center"/>
          </w:tcPr>
          <w:p w14:paraId="46665722" w14:textId="77777777" w:rsidR="00E35B30" w:rsidRPr="00BA784D" w:rsidRDefault="0036612A">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Línea base</w:t>
            </w:r>
          </w:p>
        </w:tc>
        <w:tc>
          <w:tcPr>
            <w:tcW w:w="6859" w:type="dxa"/>
            <w:vAlign w:val="center"/>
          </w:tcPr>
          <w:p w14:paraId="4ED959EB" w14:textId="77777777" w:rsidR="00FD4F8F"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46.43%</w:t>
            </w:r>
            <w:r w:rsidR="0047693E" w:rsidRPr="00BA784D">
              <w:rPr>
                <w:rFonts w:ascii="Times New Roman" w:eastAsia="Times New Roman" w:hAnsi="Times New Roman" w:cs="Times New Roman"/>
                <w:sz w:val="24"/>
                <w:szCs w:val="24"/>
              </w:rPr>
              <w:t xml:space="preserve"> </w:t>
            </w:r>
          </w:p>
          <w:p w14:paraId="5F298B51" w14:textId="0BAB89FD" w:rsidR="00E35B30" w:rsidRPr="00BA784D" w:rsidRDefault="00D01115">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br/>
            </w:r>
            <w:hyperlink r:id="rId28" w:history="1">
              <w:r w:rsidR="005E6FEB" w:rsidRPr="00FD4F8F">
                <w:rPr>
                  <w:rStyle w:val="Hipervnculo"/>
                  <w:rFonts w:ascii="Times New Roman" w:eastAsia="Times New Roman" w:hAnsi="Times New Roman" w:cs="Times New Roman"/>
                  <w:sz w:val="24"/>
                  <w:szCs w:val="24"/>
                </w:rPr>
                <w:t>https://micrositios.inai.org.mx/gobiernoabierto/?page_id=5765</w:t>
              </w:r>
            </w:hyperlink>
          </w:p>
        </w:tc>
      </w:tr>
      <w:tr w:rsidR="00E35B30" w:rsidRPr="00BA784D" w14:paraId="39FA427A" w14:textId="77777777">
        <w:trPr>
          <w:trHeight w:val="397"/>
        </w:trPr>
        <w:tc>
          <w:tcPr>
            <w:tcW w:w="1969" w:type="dxa"/>
            <w:vAlign w:val="center"/>
          </w:tcPr>
          <w:p w14:paraId="42603E15" w14:textId="77777777" w:rsidR="00E35B30" w:rsidRPr="00BA784D" w:rsidRDefault="0036612A">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2023</w:t>
            </w:r>
          </w:p>
        </w:tc>
        <w:tc>
          <w:tcPr>
            <w:tcW w:w="6859" w:type="dxa"/>
            <w:vAlign w:val="center"/>
          </w:tcPr>
          <w:p w14:paraId="013A707E"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50%</w:t>
            </w:r>
          </w:p>
        </w:tc>
      </w:tr>
      <w:tr w:rsidR="00E35B30" w:rsidRPr="00BA784D" w14:paraId="199ACA90" w14:textId="77777777">
        <w:trPr>
          <w:trHeight w:val="397"/>
        </w:trPr>
        <w:tc>
          <w:tcPr>
            <w:tcW w:w="1969" w:type="dxa"/>
            <w:vAlign w:val="center"/>
          </w:tcPr>
          <w:p w14:paraId="50D51EB5" w14:textId="77777777" w:rsidR="00E35B30" w:rsidRPr="00BA784D" w:rsidRDefault="0036612A">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2025</w:t>
            </w:r>
          </w:p>
        </w:tc>
        <w:tc>
          <w:tcPr>
            <w:tcW w:w="6859" w:type="dxa"/>
            <w:vAlign w:val="center"/>
          </w:tcPr>
          <w:p w14:paraId="1B07E9A3" w14:textId="040FEEFF" w:rsidR="00E35B30" w:rsidRPr="00BA784D" w:rsidRDefault="0089608F">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6</w:t>
            </w:r>
            <w:r w:rsidR="0036612A" w:rsidRPr="00BA784D">
              <w:rPr>
                <w:rFonts w:ascii="Times New Roman" w:eastAsia="Times New Roman" w:hAnsi="Times New Roman" w:cs="Times New Roman"/>
                <w:sz w:val="24"/>
                <w:szCs w:val="24"/>
              </w:rPr>
              <w:t>0%</w:t>
            </w:r>
          </w:p>
        </w:tc>
      </w:tr>
      <w:tr w:rsidR="00C75FCE" w:rsidRPr="00BA784D" w14:paraId="79FB88C8" w14:textId="77777777">
        <w:trPr>
          <w:trHeight w:val="397"/>
        </w:trPr>
        <w:tc>
          <w:tcPr>
            <w:tcW w:w="1969" w:type="dxa"/>
            <w:vAlign w:val="center"/>
          </w:tcPr>
          <w:p w14:paraId="12186F31" w14:textId="5D6F4927" w:rsidR="00C75FCE" w:rsidRPr="00BA784D" w:rsidRDefault="00C75FCE">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2027</w:t>
            </w:r>
          </w:p>
        </w:tc>
        <w:tc>
          <w:tcPr>
            <w:tcW w:w="6859" w:type="dxa"/>
            <w:vAlign w:val="center"/>
          </w:tcPr>
          <w:p w14:paraId="4E6E568F" w14:textId="7261719A" w:rsidR="00C75FCE" w:rsidRPr="00BA784D" w:rsidRDefault="00C75FCE">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70%</w:t>
            </w:r>
          </w:p>
        </w:tc>
      </w:tr>
      <w:tr w:rsidR="00E35B30" w:rsidRPr="00BA784D" w14:paraId="53E8BD3C" w14:textId="77777777">
        <w:trPr>
          <w:trHeight w:val="397"/>
        </w:trPr>
        <w:tc>
          <w:tcPr>
            <w:tcW w:w="1969" w:type="dxa"/>
            <w:vAlign w:val="center"/>
          </w:tcPr>
          <w:p w14:paraId="6259C091" w14:textId="77777777" w:rsidR="00E35B30" w:rsidRPr="00BA784D" w:rsidRDefault="0036612A">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Observaciones</w:t>
            </w:r>
          </w:p>
        </w:tc>
        <w:tc>
          <w:tcPr>
            <w:tcW w:w="6859" w:type="dxa"/>
            <w:vAlign w:val="center"/>
          </w:tcPr>
          <w:p w14:paraId="283D54BE" w14:textId="725069DA"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En caso de falta de disponibilidad del instrumento de “Métrica de Gobierno Abierto” es posible utilizar datos del CNTAI</w:t>
            </w:r>
            <w:r w:rsidR="003F46B4" w:rsidRPr="00BA784D">
              <w:rPr>
                <w:rFonts w:ascii="Times New Roman" w:eastAsia="Times New Roman" w:hAnsi="Times New Roman" w:cs="Times New Roman"/>
                <w:sz w:val="24"/>
                <w:szCs w:val="24"/>
              </w:rPr>
              <w:t>PPDP</w:t>
            </w:r>
            <w:r w:rsidRPr="00BA784D">
              <w:rPr>
                <w:rFonts w:ascii="Times New Roman" w:eastAsia="Times New Roman" w:hAnsi="Times New Roman" w:cs="Times New Roman"/>
                <w:sz w:val="24"/>
                <w:szCs w:val="24"/>
              </w:rPr>
              <w:t xml:space="preserve"> para calcular el </w:t>
            </w:r>
            <w:r w:rsidRPr="00BA784D">
              <w:rPr>
                <w:rFonts w:ascii="Times New Roman" w:eastAsia="Times New Roman" w:hAnsi="Times New Roman" w:cs="Times New Roman"/>
                <w:b/>
                <w:sz w:val="24"/>
                <w:szCs w:val="24"/>
              </w:rPr>
              <w:t xml:space="preserve">porcentaje de Organismos Garantes con mecanismos de seguimiento y evaluación de los compromisos establecidos en el Plan de Acción </w:t>
            </w:r>
            <w:r w:rsidRPr="00BA784D">
              <w:rPr>
                <w:rFonts w:ascii="Times New Roman" w:eastAsia="Times New Roman" w:hAnsi="Times New Roman" w:cs="Times New Roman"/>
                <w:sz w:val="24"/>
                <w:szCs w:val="24"/>
              </w:rPr>
              <w:t>como un indicador alterno para el objetivo estratégico.</w:t>
            </w:r>
          </w:p>
        </w:tc>
      </w:tr>
      <w:tr w:rsidR="00FC2A4F" w:rsidRPr="00BA784D" w14:paraId="4AADA6E5" w14:textId="77777777">
        <w:trPr>
          <w:trHeight w:val="397"/>
        </w:trPr>
        <w:tc>
          <w:tcPr>
            <w:tcW w:w="1969" w:type="dxa"/>
            <w:vAlign w:val="center"/>
          </w:tcPr>
          <w:p w14:paraId="6B71BF5D" w14:textId="4FB9F917" w:rsidR="00FC2A4F" w:rsidRPr="00BA784D" w:rsidRDefault="00FC2A4F" w:rsidP="00FC2A4F">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comportamiento esperado</w:t>
            </w:r>
          </w:p>
        </w:tc>
        <w:tc>
          <w:tcPr>
            <w:tcW w:w="6859" w:type="dxa"/>
            <w:vAlign w:val="center"/>
          </w:tcPr>
          <w:p w14:paraId="05C75251" w14:textId="11F9B966" w:rsidR="00FC2A4F" w:rsidRPr="00BA784D" w:rsidRDefault="0089608F" w:rsidP="00FC2A4F">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Ascendente</w:t>
            </w:r>
          </w:p>
        </w:tc>
      </w:tr>
    </w:tbl>
    <w:p w14:paraId="22B09A30" w14:textId="77777777" w:rsidR="00E35B30" w:rsidRPr="00BA784D" w:rsidRDefault="00E35B30">
      <w:pPr>
        <w:spacing w:line="360" w:lineRule="auto"/>
        <w:rPr>
          <w:rFonts w:ascii="Times New Roman" w:eastAsia="Times New Roman" w:hAnsi="Times New Roman" w:cs="Times New Roman"/>
          <w:sz w:val="24"/>
          <w:szCs w:val="24"/>
        </w:rPr>
      </w:pPr>
    </w:p>
    <w:p w14:paraId="6C17F2C9" w14:textId="77777777" w:rsidR="00E35B30" w:rsidRPr="00BA784D" w:rsidRDefault="0036612A">
      <w:pPr>
        <w:spacing w:line="360" w:lineRule="auto"/>
        <w:rPr>
          <w:rFonts w:ascii="Times New Roman" w:eastAsia="Times New Roman" w:hAnsi="Times New Roman" w:cs="Times New Roman"/>
          <w:sz w:val="24"/>
          <w:szCs w:val="24"/>
        </w:rPr>
      </w:pPr>
      <w:r w:rsidRPr="00BA784D">
        <w:br w:type="page"/>
      </w:r>
    </w:p>
    <w:tbl>
      <w:tblPr>
        <w:tblStyle w:val="9"/>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8"/>
        <w:gridCol w:w="3429"/>
        <w:gridCol w:w="3431"/>
      </w:tblGrid>
      <w:tr w:rsidR="00E35B30" w:rsidRPr="00BA784D" w14:paraId="771EEC13" w14:textId="77777777">
        <w:trPr>
          <w:trHeight w:val="397"/>
        </w:trPr>
        <w:tc>
          <w:tcPr>
            <w:tcW w:w="8828" w:type="dxa"/>
            <w:gridSpan w:val="3"/>
            <w:vAlign w:val="center"/>
          </w:tcPr>
          <w:p w14:paraId="6DC9F091" w14:textId="7B0BEE0C" w:rsidR="00E35B30" w:rsidRPr="00BA784D" w:rsidRDefault="0036612A">
            <w:pPr>
              <w:pStyle w:val="Ttulo4"/>
              <w:spacing w:line="360" w:lineRule="auto"/>
              <w:ind w:firstLine="100"/>
              <w:jc w:val="both"/>
              <w:rPr>
                <w:rFonts w:ascii="Times New Roman" w:eastAsia="Times New Roman" w:hAnsi="Times New Roman" w:cs="Times New Roman"/>
              </w:rPr>
            </w:pPr>
            <w:bookmarkStart w:id="56" w:name="_Toc102051249"/>
            <w:r w:rsidRPr="00BA784D">
              <w:rPr>
                <w:rFonts w:ascii="Times New Roman" w:eastAsia="Times New Roman" w:hAnsi="Times New Roman" w:cs="Times New Roman"/>
              </w:rPr>
              <w:lastRenderedPageBreak/>
              <w:t xml:space="preserve">FICHA INDICADOR 3.2. Índice de </w:t>
            </w:r>
            <w:r w:rsidR="000C0686" w:rsidRPr="00BA784D">
              <w:rPr>
                <w:rFonts w:ascii="Times New Roman" w:eastAsia="Times New Roman" w:hAnsi="Times New Roman" w:cs="Times New Roman"/>
              </w:rPr>
              <w:t xml:space="preserve">uso de </w:t>
            </w:r>
            <w:r w:rsidRPr="00BA784D">
              <w:rPr>
                <w:rFonts w:ascii="Times New Roman" w:eastAsia="Times New Roman" w:hAnsi="Times New Roman" w:cs="Times New Roman"/>
              </w:rPr>
              <w:t>Infraestructura en Tecnologías de la Información de los Organismos Garantes</w:t>
            </w:r>
            <w:bookmarkEnd w:id="56"/>
          </w:p>
        </w:tc>
      </w:tr>
      <w:tr w:rsidR="00E35B30" w:rsidRPr="00BA784D" w14:paraId="17C8E714" w14:textId="77777777">
        <w:trPr>
          <w:trHeight w:val="397"/>
        </w:trPr>
        <w:tc>
          <w:tcPr>
            <w:tcW w:w="1968" w:type="dxa"/>
            <w:shd w:val="clear" w:color="auto" w:fill="767171"/>
            <w:vAlign w:val="center"/>
          </w:tcPr>
          <w:p w14:paraId="7853896A" w14:textId="77777777" w:rsidR="00E35B30" w:rsidRPr="00BA784D" w:rsidRDefault="0036612A">
            <w:pPr>
              <w:spacing w:line="360" w:lineRule="auto"/>
              <w:jc w:val="center"/>
              <w:rPr>
                <w:rFonts w:ascii="Times New Roman" w:eastAsia="Times New Roman" w:hAnsi="Times New Roman" w:cs="Times New Roman"/>
                <w:color w:val="FFFFFF"/>
                <w:sz w:val="24"/>
                <w:szCs w:val="24"/>
              </w:rPr>
            </w:pPr>
            <w:r w:rsidRPr="00BA784D">
              <w:rPr>
                <w:rFonts w:ascii="Times New Roman" w:eastAsia="Times New Roman" w:hAnsi="Times New Roman" w:cs="Times New Roman"/>
                <w:color w:val="FFFFFF"/>
                <w:sz w:val="24"/>
                <w:szCs w:val="24"/>
              </w:rPr>
              <w:t>ELEMENTO</w:t>
            </w:r>
          </w:p>
        </w:tc>
        <w:tc>
          <w:tcPr>
            <w:tcW w:w="6860" w:type="dxa"/>
            <w:gridSpan w:val="2"/>
            <w:shd w:val="clear" w:color="auto" w:fill="767171"/>
            <w:vAlign w:val="center"/>
          </w:tcPr>
          <w:p w14:paraId="37CB92BB" w14:textId="77777777" w:rsidR="00E35B30" w:rsidRPr="00BA784D" w:rsidRDefault="0036612A">
            <w:pPr>
              <w:spacing w:line="360" w:lineRule="auto"/>
              <w:jc w:val="center"/>
              <w:rPr>
                <w:rFonts w:ascii="Times New Roman" w:eastAsia="Times New Roman" w:hAnsi="Times New Roman" w:cs="Times New Roman"/>
                <w:color w:val="FFFFFF"/>
                <w:sz w:val="24"/>
                <w:szCs w:val="24"/>
              </w:rPr>
            </w:pPr>
            <w:r w:rsidRPr="00BA784D">
              <w:rPr>
                <w:rFonts w:ascii="Times New Roman" w:eastAsia="Times New Roman" w:hAnsi="Times New Roman" w:cs="Times New Roman"/>
                <w:b/>
                <w:color w:val="FFFFFF"/>
                <w:sz w:val="24"/>
                <w:szCs w:val="24"/>
              </w:rPr>
              <w:t>CARACTERÍSTICA</w:t>
            </w:r>
          </w:p>
        </w:tc>
      </w:tr>
      <w:tr w:rsidR="00E35B30" w:rsidRPr="00BA784D" w14:paraId="4333352B" w14:textId="77777777">
        <w:trPr>
          <w:trHeight w:val="397"/>
        </w:trPr>
        <w:tc>
          <w:tcPr>
            <w:tcW w:w="1968" w:type="dxa"/>
            <w:vAlign w:val="center"/>
          </w:tcPr>
          <w:p w14:paraId="1155A743" w14:textId="77777777" w:rsidR="00E35B30" w:rsidRPr="00BA784D" w:rsidRDefault="0036612A">
            <w:pPr>
              <w:spacing w:line="360" w:lineRule="auto"/>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Eje</w:t>
            </w:r>
          </w:p>
        </w:tc>
        <w:tc>
          <w:tcPr>
            <w:tcW w:w="6860" w:type="dxa"/>
            <w:gridSpan w:val="2"/>
            <w:vAlign w:val="center"/>
          </w:tcPr>
          <w:p w14:paraId="1DFE6346"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 Políticas de Transparencia: Estado Abierto, Gobierno Digital, Transparencia Proactiva, SIPOT y Datos Abiertos</w:t>
            </w:r>
          </w:p>
        </w:tc>
      </w:tr>
      <w:tr w:rsidR="00E35B30" w:rsidRPr="00BA784D" w14:paraId="2955B706" w14:textId="77777777">
        <w:trPr>
          <w:trHeight w:val="397"/>
        </w:trPr>
        <w:tc>
          <w:tcPr>
            <w:tcW w:w="1968" w:type="dxa"/>
            <w:vAlign w:val="center"/>
          </w:tcPr>
          <w:p w14:paraId="1E8B8A11"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Objetivo</w:t>
            </w:r>
          </w:p>
        </w:tc>
        <w:tc>
          <w:tcPr>
            <w:tcW w:w="6860" w:type="dxa"/>
            <w:gridSpan w:val="2"/>
            <w:vAlign w:val="center"/>
          </w:tcPr>
          <w:p w14:paraId="6A3C60AD"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3.2 Impulsar el uso de Tecnologías de la Información y Comunicación como instrumento de actualización y accesibilidad para disminuir las brechas en el ejercicio del DAI.</w:t>
            </w:r>
          </w:p>
        </w:tc>
      </w:tr>
      <w:tr w:rsidR="00E35B30" w:rsidRPr="00BA784D" w14:paraId="011F493F" w14:textId="77777777">
        <w:trPr>
          <w:trHeight w:val="397"/>
        </w:trPr>
        <w:tc>
          <w:tcPr>
            <w:tcW w:w="1968" w:type="dxa"/>
            <w:vAlign w:val="center"/>
          </w:tcPr>
          <w:p w14:paraId="585B236A"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Descripción general</w:t>
            </w:r>
          </w:p>
        </w:tc>
        <w:tc>
          <w:tcPr>
            <w:tcW w:w="6860" w:type="dxa"/>
            <w:gridSpan w:val="2"/>
            <w:vAlign w:val="center"/>
          </w:tcPr>
          <w:p w14:paraId="3B6A893A" w14:textId="77777777"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 xml:space="preserve">Medir el fortalecimiento de las </w:t>
            </w:r>
            <w:proofErr w:type="spellStart"/>
            <w:r w:rsidRPr="00BA784D">
              <w:rPr>
                <w:rFonts w:ascii="Times New Roman" w:eastAsia="Times New Roman" w:hAnsi="Times New Roman" w:cs="Times New Roman"/>
                <w:color w:val="000000"/>
                <w:sz w:val="24"/>
                <w:szCs w:val="24"/>
              </w:rPr>
              <w:t>TIC´s</w:t>
            </w:r>
            <w:proofErr w:type="spellEnd"/>
            <w:r w:rsidRPr="00BA784D">
              <w:rPr>
                <w:rFonts w:ascii="Times New Roman" w:eastAsia="Times New Roman" w:hAnsi="Times New Roman" w:cs="Times New Roman"/>
                <w:color w:val="000000"/>
                <w:sz w:val="24"/>
                <w:szCs w:val="24"/>
              </w:rPr>
              <w:t xml:space="preserve"> para el ejercicio de las funciones de los </w:t>
            </w:r>
            <w:r w:rsidRPr="00BA784D">
              <w:rPr>
                <w:rFonts w:ascii="Times New Roman" w:eastAsia="Times New Roman" w:hAnsi="Times New Roman" w:cs="Times New Roman"/>
                <w:sz w:val="24"/>
                <w:szCs w:val="24"/>
              </w:rPr>
              <w:t>Organismos Garantes</w:t>
            </w:r>
            <w:r w:rsidRPr="00BA784D">
              <w:rPr>
                <w:rFonts w:ascii="Times New Roman" w:eastAsia="Times New Roman" w:hAnsi="Times New Roman" w:cs="Times New Roman"/>
                <w:color w:val="000000"/>
                <w:sz w:val="24"/>
                <w:szCs w:val="24"/>
              </w:rPr>
              <w:t xml:space="preserve"> en la garantía del DAI.</w:t>
            </w:r>
          </w:p>
        </w:tc>
      </w:tr>
      <w:tr w:rsidR="00E35B30" w:rsidRPr="00BA784D" w14:paraId="45B136AE" w14:textId="77777777">
        <w:trPr>
          <w:trHeight w:val="397"/>
        </w:trPr>
        <w:tc>
          <w:tcPr>
            <w:tcW w:w="1968" w:type="dxa"/>
            <w:vAlign w:val="center"/>
          </w:tcPr>
          <w:p w14:paraId="28499AD4"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Método de cálculo</w:t>
            </w:r>
          </w:p>
        </w:tc>
        <w:tc>
          <w:tcPr>
            <w:tcW w:w="6860" w:type="dxa"/>
            <w:gridSpan w:val="2"/>
          </w:tcPr>
          <w:tbl>
            <w:tblPr>
              <w:tblStyle w:val="Tablaconcuadrcula"/>
              <w:tblW w:w="0" w:type="auto"/>
              <w:jc w:val="center"/>
              <w:tblLayout w:type="fixed"/>
              <w:tblLook w:val="04A0" w:firstRow="1" w:lastRow="0" w:firstColumn="1" w:lastColumn="0" w:noHBand="0" w:noVBand="1"/>
            </w:tblPr>
            <w:tblGrid>
              <w:gridCol w:w="3310"/>
            </w:tblGrid>
            <w:tr w:rsidR="00BA784D" w:rsidRPr="00BA784D" w14:paraId="001628D3" w14:textId="77777777" w:rsidTr="00BA784D">
              <w:trPr>
                <w:jc w:val="center"/>
              </w:trPr>
              <w:tc>
                <w:tcPr>
                  <w:tcW w:w="3310" w:type="dxa"/>
                  <w:vAlign w:val="center"/>
                </w:tcPr>
                <w:p w14:paraId="45F917E3" w14:textId="580FA374" w:rsidR="00BA784D" w:rsidRPr="00BA784D" w:rsidRDefault="00BA784D" w:rsidP="0011221F">
                  <w:pPr>
                    <w:spacing w:line="360" w:lineRule="auto"/>
                    <w:jc w:val="center"/>
                    <w:rPr>
                      <w:rFonts w:ascii="Times New Roman" w:eastAsia="Times New Roman" w:hAnsi="Times New Roman" w:cs="Times New Roman"/>
                      <w:color w:val="000000"/>
                      <w:sz w:val="24"/>
                      <w:szCs w:val="24"/>
                    </w:rPr>
                  </w:pPr>
                  <w:r w:rsidRPr="00BA784D">
                    <w:rPr>
                      <w:rFonts w:ascii="Times New Roman" w:eastAsia="Times New Roman" w:hAnsi="Times New Roman" w:cs="Times New Roman"/>
                    </w:rPr>
                    <w:t xml:space="preserve">1. </w:t>
                  </w:r>
                  <m:oMath>
                    <m:d>
                      <m:dPr>
                        <m:ctrlPr>
                          <w:rPr>
                            <w:rFonts w:ascii="Cambria Math" w:hAnsi="Cambria Math"/>
                          </w:rPr>
                        </m:ctrlPr>
                      </m:dPr>
                      <m:e>
                        <m:f>
                          <m:fPr>
                            <m:ctrlPr>
                              <w:rPr>
                                <w:rFonts w:ascii="Cambria Math" w:eastAsia="Times New Roman" w:hAnsi="Cambria Math" w:cs="Times New Roman"/>
                                <w:color w:val="000000"/>
                                <w:sz w:val="24"/>
                                <w:szCs w:val="24"/>
                              </w:rPr>
                            </m:ctrlPr>
                          </m:fPr>
                          <m:num>
                            <m:r>
                              <w:rPr>
                                <w:rFonts w:ascii="Cambria Math" w:eastAsia="Times New Roman" w:hAnsi="Cambria Math" w:cs="Times New Roman"/>
                                <w:color w:val="000000"/>
                                <w:sz w:val="24"/>
                                <w:szCs w:val="24"/>
                              </w:rPr>
                              <m:t>INFO</m:t>
                            </m:r>
                          </m:num>
                          <m:den>
                            <m:r>
                              <w:rPr>
                                <w:rFonts w:ascii="Cambria Math" w:eastAsia="Times New Roman" w:hAnsi="Cambria Math" w:cs="Times New Roman"/>
                                <w:color w:val="000000"/>
                                <w:sz w:val="24"/>
                                <w:szCs w:val="24"/>
                              </w:rPr>
                              <m:t>33</m:t>
                            </m:r>
                          </m:den>
                        </m:f>
                      </m:e>
                    </m:d>
                    <m:r>
                      <w:rPr>
                        <w:rFonts w:ascii="Cambria Math" w:eastAsia="Times New Roman" w:hAnsi="Cambria Math" w:cs="Times New Roman"/>
                        <w:color w:val="000000"/>
                        <w:sz w:val="24"/>
                        <w:szCs w:val="24"/>
                      </w:rPr>
                      <m:t>x 100</m:t>
                    </m:r>
                  </m:oMath>
                </w:p>
              </w:tc>
            </w:tr>
            <w:tr w:rsidR="00BA784D" w:rsidRPr="00BA784D" w14:paraId="3AFCEA6A" w14:textId="77777777" w:rsidTr="00BA784D">
              <w:trPr>
                <w:jc w:val="center"/>
              </w:trPr>
              <w:tc>
                <w:tcPr>
                  <w:tcW w:w="3310" w:type="dxa"/>
                  <w:vAlign w:val="center"/>
                </w:tcPr>
                <w:p w14:paraId="3789C2A4" w14:textId="51544DA8" w:rsidR="00BA784D" w:rsidRPr="00BA784D" w:rsidRDefault="00BA784D" w:rsidP="0011221F">
                  <w:pPr>
                    <w:spacing w:line="360" w:lineRule="auto"/>
                    <w:jc w:val="center"/>
                    <w:rPr>
                      <w:rFonts w:ascii="Times New Roman" w:eastAsia="Times New Roman" w:hAnsi="Times New Roman" w:cs="Times New Roman"/>
                    </w:rPr>
                  </w:pPr>
                  <w:r w:rsidRPr="00BA784D">
                    <w:rPr>
                      <w:rFonts w:ascii="Times New Roman" w:eastAsia="Times New Roman" w:hAnsi="Times New Roman" w:cs="Times New Roman"/>
                    </w:rPr>
                    <w:t xml:space="preserve">2. </w:t>
                  </w:r>
                  <m:oMath>
                    <m:d>
                      <m:dPr>
                        <m:ctrlPr>
                          <w:rPr>
                            <w:rFonts w:ascii="Cambria Math" w:hAnsi="Cambria Math"/>
                          </w:rPr>
                        </m:ctrlPr>
                      </m:dPr>
                      <m:e>
                        <m:f>
                          <m:fPr>
                            <m:ctrlPr>
                              <w:rPr>
                                <w:rFonts w:ascii="Cambria Math" w:eastAsia="Times New Roman" w:hAnsi="Cambria Math" w:cs="Times New Roman"/>
                                <w:color w:val="000000"/>
                                <w:sz w:val="24"/>
                                <w:szCs w:val="24"/>
                              </w:rPr>
                            </m:ctrlPr>
                          </m:fPr>
                          <m:num>
                            <m:r>
                              <w:rPr>
                                <w:rFonts w:ascii="Cambria Math" w:eastAsia="Times New Roman" w:hAnsi="Cambria Math" w:cs="Times New Roman"/>
                                <w:color w:val="000000"/>
                                <w:sz w:val="24"/>
                                <w:szCs w:val="24"/>
                              </w:rPr>
                              <m:t>IIS</m:t>
                            </m:r>
                          </m:num>
                          <m:den>
                            <m:r>
                              <w:rPr>
                                <w:rFonts w:ascii="Cambria Math" w:eastAsia="Times New Roman" w:hAnsi="Cambria Math" w:cs="Times New Roman"/>
                                <w:color w:val="000000"/>
                                <w:sz w:val="24"/>
                                <w:szCs w:val="24"/>
                              </w:rPr>
                              <m:t>33</m:t>
                            </m:r>
                          </m:den>
                        </m:f>
                      </m:e>
                    </m:d>
                    <m:r>
                      <w:rPr>
                        <w:rFonts w:ascii="Cambria Math" w:eastAsia="Times New Roman" w:hAnsi="Cambria Math" w:cs="Times New Roman"/>
                        <w:color w:val="000000"/>
                        <w:sz w:val="24"/>
                        <w:szCs w:val="24"/>
                      </w:rPr>
                      <m:t>x 100</m:t>
                    </m:r>
                  </m:oMath>
                </w:p>
              </w:tc>
            </w:tr>
          </w:tbl>
          <w:p w14:paraId="2AC57F8D" w14:textId="77777777" w:rsidR="00E35B30" w:rsidRPr="00BA784D" w:rsidRDefault="00E35B3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5311474B" w14:textId="77777777"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Donde:</w:t>
            </w:r>
          </w:p>
          <w:p w14:paraId="58E8DF50" w14:textId="77777777" w:rsidR="00E35B30" w:rsidRPr="00BA784D" w:rsidRDefault="00E35B3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78CBDC72" w14:textId="27ED8C79"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color w:val="000000"/>
                <w:sz w:val="24"/>
                <w:szCs w:val="24"/>
              </w:rPr>
            </w:pPr>
            <m:oMath>
              <m:r>
                <w:rPr>
                  <w:rFonts w:ascii="Times New Roman" w:eastAsia="Times New Roman" w:hAnsi="Times New Roman" w:cs="Times New Roman"/>
                  <w:color w:val="000000"/>
                  <w:sz w:val="24"/>
                  <w:szCs w:val="24"/>
                </w:rPr>
                <m:t>INFO</m:t>
              </m:r>
            </m:oMath>
            <w:r w:rsidRPr="00BA784D">
              <w:rPr>
                <w:rFonts w:ascii="Times New Roman" w:eastAsia="Times New Roman" w:hAnsi="Times New Roman" w:cs="Times New Roman"/>
                <w:color w:val="000000"/>
                <w:sz w:val="24"/>
                <w:szCs w:val="24"/>
              </w:rPr>
              <w:t xml:space="preserve">, se refiere a la proporción de Organismos Garantes que reportaron </w:t>
            </w:r>
            <w:r w:rsidR="000C0686" w:rsidRPr="00BA784D">
              <w:rPr>
                <w:rFonts w:ascii="Times New Roman" w:eastAsia="Times New Roman" w:hAnsi="Times New Roman" w:cs="Times New Roman"/>
                <w:color w:val="000000"/>
                <w:sz w:val="24"/>
                <w:szCs w:val="24"/>
              </w:rPr>
              <w:t>hacer uso de</w:t>
            </w:r>
            <w:r w:rsidRPr="00BA784D">
              <w:rPr>
                <w:rFonts w:ascii="Times New Roman" w:eastAsia="Times New Roman" w:hAnsi="Times New Roman" w:cs="Times New Roman"/>
                <w:color w:val="000000"/>
                <w:sz w:val="24"/>
                <w:szCs w:val="24"/>
              </w:rPr>
              <w:t xml:space="preserve"> infraestructura tecnológica destinada al sistema INFOMEX u otras aplicaciones similares.</w:t>
            </w:r>
          </w:p>
          <w:p w14:paraId="3FD50031" w14:textId="77777777" w:rsidR="00E35B30" w:rsidRPr="00BA784D" w:rsidRDefault="00E35B3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69753E86" w14:textId="02BFCC40"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color w:val="000000"/>
                <w:sz w:val="24"/>
                <w:szCs w:val="24"/>
              </w:rPr>
            </w:pPr>
            <m:oMath>
              <m:r>
                <w:rPr>
                  <w:rFonts w:ascii="Times New Roman" w:eastAsia="Times New Roman" w:hAnsi="Times New Roman" w:cs="Times New Roman"/>
                  <w:color w:val="000000"/>
                  <w:sz w:val="24"/>
                  <w:szCs w:val="24"/>
                </w:rPr>
                <m:t>IIS</m:t>
              </m:r>
            </m:oMath>
            <w:r w:rsidRPr="00BA784D">
              <w:rPr>
                <w:rFonts w:ascii="Times New Roman" w:eastAsia="Times New Roman" w:hAnsi="Times New Roman" w:cs="Times New Roman"/>
                <w:color w:val="000000"/>
                <w:sz w:val="24"/>
                <w:szCs w:val="24"/>
              </w:rPr>
              <w:t xml:space="preserve">, se refiere a la proporción de Organismos Garantes que reportaron </w:t>
            </w:r>
            <w:r w:rsidR="000C0686" w:rsidRPr="00BA784D">
              <w:rPr>
                <w:rFonts w:ascii="Times New Roman" w:eastAsia="Times New Roman" w:hAnsi="Times New Roman" w:cs="Times New Roman"/>
                <w:color w:val="000000"/>
                <w:sz w:val="24"/>
                <w:szCs w:val="24"/>
              </w:rPr>
              <w:t>hacer uso del</w:t>
            </w:r>
            <w:r w:rsidRPr="00BA784D">
              <w:rPr>
                <w:rFonts w:ascii="Times New Roman" w:eastAsia="Times New Roman" w:hAnsi="Times New Roman" w:cs="Times New Roman"/>
                <w:color w:val="000000"/>
                <w:sz w:val="24"/>
                <w:szCs w:val="24"/>
              </w:rPr>
              <w:t xml:space="preserve"> servicio de internet institucional</w:t>
            </w:r>
            <w:r w:rsidR="00915762" w:rsidRPr="00BA784D">
              <w:rPr>
                <w:rFonts w:ascii="Times New Roman" w:eastAsia="Times New Roman" w:hAnsi="Times New Roman" w:cs="Times New Roman"/>
                <w:color w:val="000000"/>
                <w:sz w:val="24"/>
                <w:szCs w:val="24"/>
              </w:rPr>
              <w:t>.</w:t>
            </w:r>
          </w:p>
          <w:p w14:paraId="51EC9C01" w14:textId="77777777" w:rsidR="00E35B30" w:rsidRPr="00BA784D" w:rsidRDefault="00E35B30">
            <w:pPr>
              <w:spacing w:line="360" w:lineRule="auto"/>
              <w:jc w:val="both"/>
              <w:rPr>
                <w:rFonts w:ascii="Times New Roman" w:eastAsia="Times New Roman" w:hAnsi="Times New Roman" w:cs="Times New Roman"/>
                <w:sz w:val="24"/>
                <w:szCs w:val="24"/>
              </w:rPr>
            </w:pPr>
          </w:p>
          <w:p w14:paraId="7D29BFD5" w14:textId="77777777" w:rsidR="00E35B30" w:rsidRPr="00BA784D" w:rsidRDefault="00E35B3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r>
      <w:tr w:rsidR="00E35B30" w:rsidRPr="00BA784D" w14:paraId="5CBF3BD4" w14:textId="77777777">
        <w:trPr>
          <w:trHeight w:val="397"/>
        </w:trPr>
        <w:tc>
          <w:tcPr>
            <w:tcW w:w="1968" w:type="dxa"/>
            <w:vAlign w:val="center"/>
          </w:tcPr>
          <w:p w14:paraId="3A8B850E"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Periodicidad</w:t>
            </w:r>
          </w:p>
        </w:tc>
        <w:tc>
          <w:tcPr>
            <w:tcW w:w="6860" w:type="dxa"/>
            <w:gridSpan w:val="2"/>
            <w:vAlign w:val="center"/>
          </w:tcPr>
          <w:p w14:paraId="157C4DBE"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Anual.</w:t>
            </w:r>
          </w:p>
        </w:tc>
      </w:tr>
      <w:tr w:rsidR="00E35B30" w:rsidRPr="00BA784D" w14:paraId="3A8A5386" w14:textId="77777777">
        <w:trPr>
          <w:trHeight w:val="397"/>
        </w:trPr>
        <w:tc>
          <w:tcPr>
            <w:tcW w:w="1968" w:type="dxa"/>
            <w:vAlign w:val="center"/>
          </w:tcPr>
          <w:p w14:paraId="2F670AA2"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Medios de verificación</w:t>
            </w:r>
          </w:p>
        </w:tc>
        <w:tc>
          <w:tcPr>
            <w:tcW w:w="6860" w:type="dxa"/>
            <w:gridSpan w:val="2"/>
            <w:vAlign w:val="center"/>
          </w:tcPr>
          <w:p w14:paraId="700A3B92" w14:textId="77777777" w:rsidR="00017507" w:rsidRPr="00BA784D" w:rsidRDefault="0036612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 xml:space="preserve">INEGI. </w:t>
            </w:r>
          </w:p>
          <w:p w14:paraId="5577C33D" w14:textId="73E03559"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 xml:space="preserve">Censo Nacional de Transparencia, Acceso a la Información Pública </w:t>
            </w:r>
            <w:r w:rsidRPr="00BA784D">
              <w:rPr>
                <w:rFonts w:ascii="Times New Roman" w:eastAsia="Times New Roman" w:hAnsi="Times New Roman" w:cs="Times New Roman"/>
                <w:color w:val="000000"/>
                <w:sz w:val="24"/>
                <w:szCs w:val="24"/>
              </w:rPr>
              <w:lastRenderedPageBreak/>
              <w:t>y Protección de Datos Personales</w:t>
            </w:r>
            <w:r w:rsidR="00017507" w:rsidRPr="00BA784D">
              <w:rPr>
                <w:rFonts w:ascii="Times New Roman" w:eastAsia="Times New Roman" w:hAnsi="Times New Roman" w:cs="Times New Roman"/>
                <w:color w:val="000000"/>
                <w:sz w:val="24"/>
                <w:szCs w:val="24"/>
              </w:rPr>
              <w:t xml:space="preserve"> Federal</w:t>
            </w:r>
            <w:r w:rsidRPr="00BA784D">
              <w:rPr>
                <w:rFonts w:ascii="Times New Roman" w:eastAsia="Times New Roman" w:hAnsi="Times New Roman" w:cs="Times New Roman"/>
                <w:color w:val="000000"/>
                <w:sz w:val="24"/>
                <w:szCs w:val="24"/>
              </w:rPr>
              <w:t xml:space="preserve"> (</w:t>
            </w:r>
            <w:r w:rsidR="00017507" w:rsidRPr="00BA784D">
              <w:rPr>
                <w:rFonts w:ascii="Times New Roman" w:eastAsia="Times New Roman" w:hAnsi="Times New Roman" w:cs="Times New Roman"/>
                <w:color w:val="000000"/>
                <w:sz w:val="24"/>
                <w:szCs w:val="24"/>
              </w:rPr>
              <w:t>CNTAIPPDP</w:t>
            </w:r>
            <w:r w:rsidR="00505E6F" w:rsidRPr="00BA784D">
              <w:rPr>
                <w:rFonts w:ascii="Times New Roman" w:eastAsia="Times New Roman" w:hAnsi="Times New Roman" w:cs="Times New Roman"/>
                <w:color w:val="000000"/>
                <w:sz w:val="24"/>
                <w:szCs w:val="24"/>
              </w:rPr>
              <w:t>F</w:t>
            </w:r>
            <w:r w:rsidRPr="00BA784D">
              <w:rPr>
                <w:rFonts w:ascii="Times New Roman" w:eastAsia="Times New Roman" w:hAnsi="Times New Roman" w:cs="Times New Roman"/>
                <w:color w:val="000000"/>
                <w:sz w:val="24"/>
                <w:szCs w:val="24"/>
              </w:rPr>
              <w:t>).</w:t>
            </w:r>
            <w:r w:rsidR="00F51508" w:rsidRPr="00BA784D">
              <w:rPr>
                <w:rFonts w:ascii="Times New Roman" w:eastAsia="Times New Roman" w:hAnsi="Times New Roman" w:cs="Times New Roman"/>
                <w:color w:val="000000"/>
                <w:sz w:val="24"/>
                <w:szCs w:val="24"/>
              </w:rPr>
              <w:t xml:space="preserve"> </w:t>
            </w:r>
          </w:p>
          <w:p w14:paraId="1F0FC1CB" w14:textId="209DBDC7" w:rsidR="00017507" w:rsidRPr="00BA784D" w:rsidRDefault="0001750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Censo Nacional de Transparencia, Acceso a la Información Pública y Protección de Datos Personales Estatal (CNTAIPPDP</w:t>
            </w:r>
            <w:r w:rsidR="00505E6F" w:rsidRPr="00BA784D">
              <w:rPr>
                <w:rFonts w:ascii="Times New Roman" w:eastAsia="Times New Roman" w:hAnsi="Times New Roman" w:cs="Times New Roman"/>
                <w:color w:val="000000"/>
                <w:sz w:val="24"/>
                <w:szCs w:val="24"/>
              </w:rPr>
              <w:t>E</w:t>
            </w:r>
            <w:r w:rsidRPr="00BA784D">
              <w:rPr>
                <w:rFonts w:ascii="Times New Roman" w:eastAsia="Times New Roman" w:hAnsi="Times New Roman" w:cs="Times New Roman"/>
                <w:color w:val="000000"/>
                <w:sz w:val="24"/>
                <w:szCs w:val="24"/>
              </w:rPr>
              <w:t>).</w:t>
            </w:r>
          </w:p>
        </w:tc>
      </w:tr>
      <w:tr w:rsidR="00E35B30" w:rsidRPr="00BA784D" w14:paraId="5176E779" w14:textId="77777777">
        <w:trPr>
          <w:trHeight w:val="397"/>
        </w:trPr>
        <w:tc>
          <w:tcPr>
            <w:tcW w:w="1968" w:type="dxa"/>
            <w:vAlign w:val="center"/>
          </w:tcPr>
          <w:p w14:paraId="67B32028"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lastRenderedPageBreak/>
              <w:t>Reactivos utilizados</w:t>
            </w:r>
          </w:p>
        </w:tc>
        <w:tc>
          <w:tcPr>
            <w:tcW w:w="3429" w:type="dxa"/>
            <w:vAlign w:val="center"/>
          </w:tcPr>
          <w:p w14:paraId="5DE58E9F" w14:textId="7BDE6973" w:rsidR="00E35B30" w:rsidRPr="00BA784D" w:rsidRDefault="008A08A4">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sidRPr="00BA784D">
              <w:rPr>
                <w:rFonts w:ascii="Times New Roman" w:eastAsia="Times New Roman" w:hAnsi="Times New Roman" w:cs="Times New Roman"/>
                <w:i/>
                <w:color w:val="000000"/>
                <w:sz w:val="24"/>
                <w:szCs w:val="24"/>
              </w:rPr>
              <w:t xml:space="preserve">Variable: </w:t>
            </w:r>
            <w:r w:rsidR="0036612A" w:rsidRPr="00BA784D">
              <w:rPr>
                <w:rFonts w:ascii="Times New Roman" w:eastAsia="Times New Roman" w:hAnsi="Times New Roman" w:cs="Times New Roman"/>
                <w:i/>
                <w:color w:val="000000"/>
                <w:sz w:val="24"/>
                <w:szCs w:val="24"/>
              </w:rPr>
              <w:t>INFO</w:t>
            </w:r>
          </w:p>
          <w:p w14:paraId="4A9D5FC6" w14:textId="65EC9F31" w:rsidR="00E35B30" w:rsidRPr="00BA784D" w:rsidRDefault="008A08A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 xml:space="preserve">Censo </w:t>
            </w:r>
            <w:r w:rsidR="0036612A" w:rsidRPr="00BA784D">
              <w:rPr>
                <w:rFonts w:ascii="Times New Roman" w:eastAsia="Times New Roman" w:hAnsi="Times New Roman" w:cs="Times New Roman"/>
                <w:color w:val="000000"/>
                <w:sz w:val="24"/>
                <w:szCs w:val="24"/>
              </w:rPr>
              <w:t>Estatal</w:t>
            </w:r>
            <w:r w:rsidR="0036612A" w:rsidRPr="00BA784D">
              <w:rPr>
                <w:rFonts w:ascii="Times New Roman" w:eastAsia="Times New Roman" w:hAnsi="Times New Roman" w:cs="Times New Roman"/>
                <w:color w:val="000000"/>
                <w:sz w:val="24"/>
                <w:szCs w:val="24"/>
              </w:rPr>
              <w:tab/>
              <w:t>M</w:t>
            </w:r>
            <w:r w:rsidRPr="00BA784D">
              <w:rPr>
                <w:rFonts w:ascii="Times New Roman" w:eastAsia="Times New Roman" w:hAnsi="Times New Roman" w:cs="Times New Roman"/>
                <w:color w:val="000000"/>
                <w:sz w:val="24"/>
                <w:szCs w:val="24"/>
              </w:rPr>
              <w:t xml:space="preserve">ódulo </w:t>
            </w:r>
            <w:r w:rsidR="0036612A" w:rsidRPr="00BA784D">
              <w:rPr>
                <w:rFonts w:ascii="Times New Roman" w:eastAsia="Times New Roman" w:hAnsi="Times New Roman" w:cs="Times New Roman"/>
                <w:color w:val="000000"/>
                <w:sz w:val="24"/>
                <w:szCs w:val="24"/>
              </w:rPr>
              <w:t>01</w:t>
            </w:r>
            <w:r w:rsidRPr="00BA784D">
              <w:rPr>
                <w:rFonts w:ascii="Times New Roman" w:eastAsia="Times New Roman" w:hAnsi="Times New Roman" w:cs="Times New Roman"/>
                <w:color w:val="000000"/>
                <w:sz w:val="24"/>
                <w:szCs w:val="24"/>
              </w:rPr>
              <w:t xml:space="preserve"> </w:t>
            </w:r>
            <w:r w:rsidR="0036612A" w:rsidRPr="00BA784D">
              <w:rPr>
                <w:rFonts w:ascii="Times New Roman" w:eastAsia="Times New Roman" w:hAnsi="Times New Roman" w:cs="Times New Roman"/>
                <w:color w:val="000000"/>
                <w:sz w:val="24"/>
                <w:szCs w:val="24"/>
              </w:rPr>
              <w:t>S</w:t>
            </w:r>
            <w:r w:rsidRPr="00BA784D">
              <w:rPr>
                <w:rFonts w:ascii="Times New Roman" w:eastAsia="Times New Roman" w:hAnsi="Times New Roman" w:cs="Times New Roman"/>
                <w:color w:val="000000"/>
                <w:sz w:val="24"/>
                <w:szCs w:val="24"/>
              </w:rPr>
              <w:t xml:space="preserve">ección </w:t>
            </w:r>
            <w:r w:rsidR="0036612A" w:rsidRPr="00BA784D">
              <w:rPr>
                <w:rFonts w:ascii="Times New Roman" w:eastAsia="Times New Roman" w:hAnsi="Times New Roman" w:cs="Times New Roman"/>
                <w:color w:val="000000"/>
                <w:sz w:val="24"/>
                <w:szCs w:val="24"/>
              </w:rPr>
              <w:t>04</w:t>
            </w:r>
            <w:r w:rsidRPr="00BA784D">
              <w:rPr>
                <w:rFonts w:ascii="Times New Roman" w:eastAsia="Times New Roman" w:hAnsi="Times New Roman" w:cs="Times New Roman"/>
                <w:color w:val="000000"/>
                <w:sz w:val="24"/>
                <w:szCs w:val="24"/>
              </w:rPr>
              <w:t xml:space="preserve"> </w:t>
            </w:r>
            <w:r w:rsidR="0036612A" w:rsidRPr="00BA784D">
              <w:rPr>
                <w:rFonts w:ascii="Times New Roman" w:eastAsia="Times New Roman" w:hAnsi="Times New Roman" w:cs="Times New Roman"/>
                <w:color w:val="000000"/>
                <w:sz w:val="24"/>
                <w:szCs w:val="24"/>
              </w:rPr>
              <w:t>P</w:t>
            </w:r>
            <w:r w:rsidRPr="00BA784D">
              <w:rPr>
                <w:rFonts w:ascii="Times New Roman" w:eastAsia="Times New Roman" w:hAnsi="Times New Roman" w:cs="Times New Roman"/>
                <w:color w:val="000000"/>
                <w:sz w:val="24"/>
                <w:szCs w:val="24"/>
              </w:rPr>
              <w:t xml:space="preserve">regunta </w:t>
            </w:r>
            <w:r w:rsidR="0036612A" w:rsidRPr="00BA784D">
              <w:rPr>
                <w:rFonts w:ascii="Times New Roman" w:eastAsia="Times New Roman" w:hAnsi="Times New Roman" w:cs="Times New Roman"/>
                <w:color w:val="000000"/>
                <w:sz w:val="24"/>
                <w:szCs w:val="24"/>
              </w:rPr>
              <w:t>43</w:t>
            </w:r>
          </w:p>
          <w:p w14:paraId="12700BFE" w14:textId="4D7F2020" w:rsidR="00E35B30" w:rsidRPr="00BA784D" w:rsidRDefault="008A08A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 xml:space="preserve">Censo </w:t>
            </w:r>
            <w:r w:rsidR="0036612A" w:rsidRPr="00BA784D">
              <w:rPr>
                <w:rFonts w:ascii="Times New Roman" w:eastAsia="Times New Roman" w:hAnsi="Times New Roman" w:cs="Times New Roman"/>
                <w:color w:val="000000"/>
                <w:sz w:val="24"/>
                <w:szCs w:val="24"/>
              </w:rPr>
              <w:t>Federal</w:t>
            </w:r>
            <w:r w:rsidR="0036612A" w:rsidRPr="00BA784D">
              <w:rPr>
                <w:rFonts w:ascii="Times New Roman" w:eastAsia="Times New Roman" w:hAnsi="Times New Roman" w:cs="Times New Roman"/>
                <w:color w:val="000000"/>
                <w:sz w:val="24"/>
                <w:szCs w:val="24"/>
              </w:rPr>
              <w:tab/>
              <w:t>M</w:t>
            </w:r>
            <w:r w:rsidRPr="00BA784D">
              <w:rPr>
                <w:rFonts w:ascii="Times New Roman" w:eastAsia="Times New Roman" w:hAnsi="Times New Roman" w:cs="Times New Roman"/>
                <w:color w:val="000000"/>
                <w:sz w:val="24"/>
                <w:szCs w:val="24"/>
              </w:rPr>
              <w:t xml:space="preserve">ódulo </w:t>
            </w:r>
            <w:r w:rsidR="0036612A" w:rsidRPr="00BA784D">
              <w:rPr>
                <w:rFonts w:ascii="Times New Roman" w:eastAsia="Times New Roman" w:hAnsi="Times New Roman" w:cs="Times New Roman"/>
                <w:color w:val="000000"/>
                <w:sz w:val="24"/>
                <w:szCs w:val="24"/>
              </w:rPr>
              <w:t>01</w:t>
            </w:r>
            <w:r w:rsidRPr="00BA784D">
              <w:rPr>
                <w:rFonts w:ascii="Times New Roman" w:eastAsia="Times New Roman" w:hAnsi="Times New Roman" w:cs="Times New Roman"/>
                <w:color w:val="000000"/>
                <w:sz w:val="24"/>
                <w:szCs w:val="24"/>
              </w:rPr>
              <w:t xml:space="preserve"> </w:t>
            </w:r>
            <w:r w:rsidR="0036612A" w:rsidRPr="00BA784D">
              <w:rPr>
                <w:rFonts w:ascii="Times New Roman" w:eastAsia="Times New Roman" w:hAnsi="Times New Roman" w:cs="Times New Roman"/>
                <w:color w:val="000000"/>
                <w:sz w:val="24"/>
                <w:szCs w:val="24"/>
              </w:rPr>
              <w:t>S</w:t>
            </w:r>
            <w:r w:rsidRPr="00BA784D">
              <w:rPr>
                <w:rFonts w:ascii="Times New Roman" w:eastAsia="Times New Roman" w:hAnsi="Times New Roman" w:cs="Times New Roman"/>
                <w:color w:val="000000"/>
                <w:sz w:val="24"/>
                <w:szCs w:val="24"/>
              </w:rPr>
              <w:t xml:space="preserve">ección </w:t>
            </w:r>
            <w:r w:rsidR="0036612A" w:rsidRPr="00BA784D">
              <w:rPr>
                <w:rFonts w:ascii="Times New Roman" w:eastAsia="Times New Roman" w:hAnsi="Times New Roman" w:cs="Times New Roman"/>
                <w:color w:val="000000"/>
                <w:sz w:val="24"/>
                <w:szCs w:val="24"/>
              </w:rPr>
              <w:t>04</w:t>
            </w:r>
            <w:r w:rsidRPr="00BA784D">
              <w:rPr>
                <w:rFonts w:ascii="Times New Roman" w:eastAsia="Times New Roman" w:hAnsi="Times New Roman" w:cs="Times New Roman"/>
                <w:color w:val="000000"/>
                <w:sz w:val="24"/>
                <w:szCs w:val="24"/>
              </w:rPr>
              <w:t xml:space="preserve"> </w:t>
            </w:r>
            <w:r w:rsidR="0036612A" w:rsidRPr="00BA784D">
              <w:rPr>
                <w:rFonts w:ascii="Times New Roman" w:eastAsia="Times New Roman" w:hAnsi="Times New Roman" w:cs="Times New Roman"/>
                <w:color w:val="000000"/>
                <w:sz w:val="24"/>
                <w:szCs w:val="24"/>
              </w:rPr>
              <w:t>P</w:t>
            </w:r>
            <w:r w:rsidRPr="00BA784D">
              <w:rPr>
                <w:rFonts w:ascii="Times New Roman" w:eastAsia="Times New Roman" w:hAnsi="Times New Roman" w:cs="Times New Roman"/>
                <w:color w:val="000000"/>
                <w:sz w:val="24"/>
                <w:szCs w:val="24"/>
              </w:rPr>
              <w:t xml:space="preserve">regunta </w:t>
            </w:r>
            <w:r w:rsidR="0036612A" w:rsidRPr="00BA784D">
              <w:rPr>
                <w:rFonts w:ascii="Times New Roman" w:eastAsia="Times New Roman" w:hAnsi="Times New Roman" w:cs="Times New Roman"/>
                <w:color w:val="000000"/>
                <w:sz w:val="24"/>
                <w:szCs w:val="24"/>
              </w:rPr>
              <w:t>40</w:t>
            </w:r>
          </w:p>
        </w:tc>
        <w:tc>
          <w:tcPr>
            <w:tcW w:w="3431" w:type="dxa"/>
            <w:vAlign w:val="center"/>
          </w:tcPr>
          <w:p w14:paraId="6F88D9AD" w14:textId="4D785B66" w:rsidR="00E35B30" w:rsidRPr="00BA784D" w:rsidRDefault="008A08A4">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sidRPr="00BA784D">
              <w:rPr>
                <w:rFonts w:ascii="Times New Roman" w:eastAsia="Times New Roman" w:hAnsi="Times New Roman" w:cs="Times New Roman"/>
                <w:i/>
                <w:color w:val="000000"/>
                <w:sz w:val="24"/>
                <w:szCs w:val="24"/>
              </w:rPr>
              <w:t xml:space="preserve">Variable: </w:t>
            </w:r>
            <w:r w:rsidR="0036612A" w:rsidRPr="00BA784D">
              <w:rPr>
                <w:rFonts w:ascii="Times New Roman" w:eastAsia="Times New Roman" w:hAnsi="Times New Roman" w:cs="Times New Roman"/>
                <w:i/>
                <w:color w:val="000000"/>
                <w:sz w:val="24"/>
                <w:szCs w:val="24"/>
              </w:rPr>
              <w:t>IIS</w:t>
            </w:r>
          </w:p>
          <w:p w14:paraId="7013A9D8" w14:textId="2178C349" w:rsidR="00E35B30" w:rsidRPr="00BA784D" w:rsidRDefault="008A08A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 xml:space="preserve">Censo </w:t>
            </w:r>
            <w:r w:rsidR="0036612A" w:rsidRPr="00BA784D">
              <w:rPr>
                <w:rFonts w:ascii="Times New Roman" w:eastAsia="Times New Roman" w:hAnsi="Times New Roman" w:cs="Times New Roman"/>
                <w:color w:val="000000"/>
                <w:sz w:val="24"/>
                <w:szCs w:val="24"/>
              </w:rPr>
              <w:t>Estatal</w:t>
            </w:r>
            <w:r w:rsidR="0036612A" w:rsidRPr="00BA784D">
              <w:rPr>
                <w:rFonts w:ascii="Times New Roman" w:eastAsia="Times New Roman" w:hAnsi="Times New Roman" w:cs="Times New Roman"/>
                <w:color w:val="000000"/>
                <w:sz w:val="24"/>
                <w:szCs w:val="24"/>
              </w:rPr>
              <w:tab/>
              <w:t>M</w:t>
            </w:r>
            <w:r w:rsidRPr="00BA784D">
              <w:rPr>
                <w:rFonts w:ascii="Times New Roman" w:eastAsia="Times New Roman" w:hAnsi="Times New Roman" w:cs="Times New Roman"/>
                <w:color w:val="000000"/>
                <w:sz w:val="24"/>
                <w:szCs w:val="24"/>
              </w:rPr>
              <w:t xml:space="preserve">ódulo </w:t>
            </w:r>
            <w:r w:rsidR="0036612A" w:rsidRPr="00BA784D">
              <w:rPr>
                <w:rFonts w:ascii="Times New Roman" w:eastAsia="Times New Roman" w:hAnsi="Times New Roman" w:cs="Times New Roman"/>
                <w:color w:val="000000"/>
                <w:sz w:val="24"/>
                <w:szCs w:val="24"/>
              </w:rPr>
              <w:t>01</w:t>
            </w:r>
            <w:r w:rsidRPr="00BA784D">
              <w:rPr>
                <w:rFonts w:ascii="Times New Roman" w:eastAsia="Times New Roman" w:hAnsi="Times New Roman" w:cs="Times New Roman"/>
                <w:color w:val="000000"/>
                <w:sz w:val="24"/>
                <w:szCs w:val="24"/>
              </w:rPr>
              <w:t xml:space="preserve"> </w:t>
            </w:r>
            <w:r w:rsidR="0036612A" w:rsidRPr="00BA784D">
              <w:rPr>
                <w:rFonts w:ascii="Times New Roman" w:eastAsia="Times New Roman" w:hAnsi="Times New Roman" w:cs="Times New Roman"/>
                <w:color w:val="000000"/>
                <w:sz w:val="24"/>
                <w:szCs w:val="24"/>
              </w:rPr>
              <w:t>S</w:t>
            </w:r>
            <w:r w:rsidRPr="00BA784D">
              <w:rPr>
                <w:rFonts w:ascii="Times New Roman" w:eastAsia="Times New Roman" w:hAnsi="Times New Roman" w:cs="Times New Roman"/>
                <w:color w:val="000000"/>
                <w:sz w:val="24"/>
                <w:szCs w:val="24"/>
              </w:rPr>
              <w:t xml:space="preserve">ección </w:t>
            </w:r>
            <w:r w:rsidR="0036612A" w:rsidRPr="00BA784D">
              <w:rPr>
                <w:rFonts w:ascii="Times New Roman" w:eastAsia="Times New Roman" w:hAnsi="Times New Roman" w:cs="Times New Roman"/>
                <w:color w:val="000000"/>
                <w:sz w:val="24"/>
                <w:szCs w:val="24"/>
              </w:rPr>
              <w:t>04</w:t>
            </w:r>
            <w:r w:rsidRPr="00BA784D">
              <w:rPr>
                <w:rFonts w:ascii="Times New Roman" w:eastAsia="Times New Roman" w:hAnsi="Times New Roman" w:cs="Times New Roman"/>
                <w:color w:val="000000"/>
                <w:sz w:val="24"/>
                <w:szCs w:val="24"/>
              </w:rPr>
              <w:t xml:space="preserve"> </w:t>
            </w:r>
            <w:r w:rsidR="0036612A" w:rsidRPr="00BA784D">
              <w:rPr>
                <w:rFonts w:ascii="Times New Roman" w:eastAsia="Times New Roman" w:hAnsi="Times New Roman" w:cs="Times New Roman"/>
                <w:color w:val="000000"/>
                <w:sz w:val="24"/>
                <w:szCs w:val="24"/>
              </w:rPr>
              <w:t>P</w:t>
            </w:r>
            <w:r w:rsidRPr="00BA784D">
              <w:rPr>
                <w:rFonts w:ascii="Times New Roman" w:eastAsia="Times New Roman" w:hAnsi="Times New Roman" w:cs="Times New Roman"/>
                <w:color w:val="000000"/>
                <w:sz w:val="24"/>
                <w:szCs w:val="24"/>
              </w:rPr>
              <w:t xml:space="preserve">regunta </w:t>
            </w:r>
            <w:r w:rsidR="0036612A" w:rsidRPr="00BA784D">
              <w:rPr>
                <w:rFonts w:ascii="Times New Roman" w:eastAsia="Times New Roman" w:hAnsi="Times New Roman" w:cs="Times New Roman"/>
                <w:color w:val="000000"/>
                <w:sz w:val="24"/>
                <w:szCs w:val="24"/>
              </w:rPr>
              <w:t>44</w:t>
            </w:r>
          </w:p>
          <w:p w14:paraId="3D67C82B" w14:textId="644CFD14" w:rsidR="00E35B30" w:rsidRPr="00BA784D" w:rsidRDefault="008A08A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 xml:space="preserve">Censo </w:t>
            </w:r>
            <w:r w:rsidR="0036612A" w:rsidRPr="00BA784D">
              <w:rPr>
                <w:rFonts w:ascii="Times New Roman" w:eastAsia="Times New Roman" w:hAnsi="Times New Roman" w:cs="Times New Roman"/>
                <w:color w:val="000000"/>
                <w:sz w:val="24"/>
                <w:szCs w:val="24"/>
              </w:rPr>
              <w:t>Federal</w:t>
            </w:r>
            <w:r w:rsidR="0036612A" w:rsidRPr="00BA784D">
              <w:rPr>
                <w:rFonts w:ascii="Times New Roman" w:eastAsia="Times New Roman" w:hAnsi="Times New Roman" w:cs="Times New Roman"/>
                <w:color w:val="000000"/>
                <w:sz w:val="24"/>
                <w:szCs w:val="24"/>
              </w:rPr>
              <w:tab/>
              <w:t>M</w:t>
            </w:r>
            <w:r w:rsidRPr="00BA784D">
              <w:rPr>
                <w:rFonts w:ascii="Times New Roman" w:eastAsia="Times New Roman" w:hAnsi="Times New Roman" w:cs="Times New Roman"/>
                <w:color w:val="000000"/>
                <w:sz w:val="24"/>
                <w:szCs w:val="24"/>
              </w:rPr>
              <w:t xml:space="preserve">ódulo </w:t>
            </w:r>
            <w:r w:rsidR="0036612A" w:rsidRPr="00BA784D">
              <w:rPr>
                <w:rFonts w:ascii="Times New Roman" w:eastAsia="Times New Roman" w:hAnsi="Times New Roman" w:cs="Times New Roman"/>
                <w:color w:val="000000"/>
                <w:sz w:val="24"/>
                <w:szCs w:val="24"/>
              </w:rPr>
              <w:t>01</w:t>
            </w:r>
            <w:r w:rsidRPr="00BA784D">
              <w:rPr>
                <w:rFonts w:ascii="Times New Roman" w:eastAsia="Times New Roman" w:hAnsi="Times New Roman" w:cs="Times New Roman"/>
                <w:color w:val="000000"/>
                <w:sz w:val="24"/>
                <w:szCs w:val="24"/>
              </w:rPr>
              <w:t xml:space="preserve"> </w:t>
            </w:r>
            <w:r w:rsidR="0036612A" w:rsidRPr="00BA784D">
              <w:rPr>
                <w:rFonts w:ascii="Times New Roman" w:eastAsia="Times New Roman" w:hAnsi="Times New Roman" w:cs="Times New Roman"/>
                <w:color w:val="000000"/>
                <w:sz w:val="24"/>
                <w:szCs w:val="24"/>
              </w:rPr>
              <w:t>S</w:t>
            </w:r>
            <w:r w:rsidRPr="00BA784D">
              <w:rPr>
                <w:rFonts w:ascii="Times New Roman" w:eastAsia="Times New Roman" w:hAnsi="Times New Roman" w:cs="Times New Roman"/>
                <w:color w:val="000000"/>
                <w:sz w:val="24"/>
                <w:szCs w:val="24"/>
              </w:rPr>
              <w:t xml:space="preserve">ección </w:t>
            </w:r>
            <w:r w:rsidR="0036612A" w:rsidRPr="00BA784D">
              <w:rPr>
                <w:rFonts w:ascii="Times New Roman" w:eastAsia="Times New Roman" w:hAnsi="Times New Roman" w:cs="Times New Roman"/>
                <w:color w:val="000000"/>
                <w:sz w:val="24"/>
                <w:szCs w:val="24"/>
              </w:rPr>
              <w:t>04</w:t>
            </w:r>
            <w:r w:rsidRPr="00BA784D">
              <w:rPr>
                <w:rFonts w:ascii="Times New Roman" w:eastAsia="Times New Roman" w:hAnsi="Times New Roman" w:cs="Times New Roman"/>
                <w:color w:val="000000"/>
                <w:sz w:val="24"/>
                <w:szCs w:val="24"/>
              </w:rPr>
              <w:t xml:space="preserve"> </w:t>
            </w:r>
            <w:r w:rsidR="0036612A" w:rsidRPr="00BA784D">
              <w:rPr>
                <w:rFonts w:ascii="Times New Roman" w:eastAsia="Times New Roman" w:hAnsi="Times New Roman" w:cs="Times New Roman"/>
                <w:color w:val="000000"/>
                <w:sz w:val="24"/>
                <w:szCs w:val="24"/>
              </w:rPr>
              <w:t>P</w:t>
            </w:r>
            <w:r w:rsidRPr="00BA784D">
              <w:rPr>
                <w:rFonts w:ascii="Times New Roman" w:eastAsia="Times New Roman" w:hAnsi="Times New Roman" w:cs="Times New Roman"/>
                <w:color w:val="000000"/>
                <w:sz w:val="24"/>
                <w:szCs w:val="24"/>
              </w:rPr>
              <w:t xml:space="preserve">regunta </w:t>
            </w:r>
            <w:r w:rsidR="0036612A" w:rsidRPr="00BA784D">
              <w:rPr>
                <w:rFonts w:ascii="Times New Roman" w:eastAsia="Times New Roman" w:hAnsi="Times New Roman" w:cs="Times New Roman"/>
                <w:color w:val="000000"/>
                <w:sz w:val="24"/>
                <w:szCs w:val="24"/>
              </w:rPr>
              <w:t>41</w:t>
            </w:r>
          </w:p>
        </w:tc>
      </w:tr>
      <w:tr w:rsidR="00E35B30" w:rsidRPr="00BA784D" w14:paraId="7E440C75" w14:textId="77777777">
        <w:trPr>
          <w:trHeight w:val="397"/>
        </w:trPr>
        <w:tc>
          <w:tcPr>
            <w:tcW w:w="1968" w:type="dxa"/>
            <w:vAlign w:val="center"/>
          </w:tcPr>
          <w:p w14:paraId="599ADC3B" w14:textId="77777777" w:rsidR="00E35B30" w:rsidRPr="00BA784D" w:rsidRDefault="0036612A">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Actores vinculados con el indicador</w:t>
            </w:r>
          </w:p>
        </w:tc>
        <w:tc>
          <w:tcPr>
            <w:tcW w:w="6860" w:type="dxa"/>
            <w:gridSpan w:val="2"/>
            <w:vAlign w:val="center"/>
          </w:tcPr>
          <w:p w14:paraId="24FFA405"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Organismos Garantes.</w:t>
            </w:r>
          </w:p>
        </w:tc>
      </w:tr>
      <w:tr w:rsidR="00640466" w:rsidRPr="00BA784D" w14:paraId="5D9975ED" w14:textId="77777777">
        <w:trPr>
          <w:trHeight w:val="397"/>
        </w:trPr>
        <w:tc>
          <w:tcPr>
            <w:tcW w:w="1968" w:type="dxa"/>
            <w:vAlign w:val="center"/>
          </w:tcPr>
          <w:p w14:paraId="139EF0FF" w14:textId="7895DD60" w:rsidR="00640466" w:rsidRPr="00BA784D" w:rsidRDefault="00640466"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Línea base (CNTAIPPDPF y CNTAIPPDPE 2020)</w:t>
            </w:r>
          </w:p>
        </w:tc>
        <w:tc>
          <w:tcPr>
            <w:tcW w:w="6860" w:type="dxa"/>
            <w:gridSpan w:val="2"/>
            <w:vAlign w:val="center"/>
          </w:tcPr>
          <w:p w14:paraId="01B8A432" w14:textId="285AA868" w:rsidR="00915762" w:rsidRPr="00BA784D" w:rsidRDefault="00915762"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1. 72.72</w:t>
            </w:r>
            <w:r w:rsidR="00640466" w:rsidRPr="00BA784D">
              <w:rPr>
                <w:rFonts w:ascii="Times New Roman" w:eastAsia="Times New Roman" w:hAnsi="Times New Roman" w:cs="Times New Roman"/>
                <w:sz w:val="24"/>
                <w:szCs w:val="24"/>
              </w:rPr>
              <w:t>%</w:t>
            </w:r>
          </w:p>
          <w:p w14:paraId="07174CCE" w14:textId="1D20A7A2" w:rsidR="00640466" w:rsidRDefault="00915762"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2. 96.96%</w:t>
            </w:r>
            <w:r w:rsidR="00640466" w:rsidRPr="00BA784D">
              <w:rPr>
                <w:rFonts w:ascii="Times New Roman" w:eastAsia="Times New Roman" w:hAnsi="Times New Roman" w:cs="Times New Roman"/>
                <w:sz w:val="24"/>
                <w:szCs w:val="24"/>
              </w:rPr>
              <w:t xml:space="preserve"> </w:t>
            </w:r>
          </w:p>
          <w:p w14:paraId="08CBC0AE" w14:textId="77777777" w:rsidR="00FD4F8F" w:rsidRPr="00BA784D" w:rsidRDefault="00FD4F8F" w:rsidP="00640466">
            <w:pPr>
              <w:spacing w:line="360" w:lineRule="auto"/>
              <w:rPr>
                <w:rFonts w:ascii="Times New Roman" w:eastAsia="Times New Roman" w:hAnsi="Times New Roman" w:cs="Times New Roman"/>
                <w:sz w:val="24"/>
                <w:szCs w:val="24"/>
              </w:rPr>
            </w:pPr>
          </w:p>
          <w:p w14:paraId="5390304A" w14:textId="33019BE6" w:rsidR="00640466" w:rsidRPr="00BA784D" w:rsidRDefault="0027114E" w:rsidP="00640466">
            <w:pPr>
              <w:spacing w:line="360" w:lineRule="auto"/>
              <w:rPr>
                <w:rFonts w:ascii="Times New Roman" w:eastAsia="Times New Roman" w:hAnsi="Times New Roman" w:cs="Times New Roman"/>
                <w:sz w:val="24"/>
                <w:szCs w:val="24"/>
              </w:rPr>
            </w:pPr>
            <w:hyperlink r:id="rId29" w:history="1">
              <w:r w:rsidR="00FD4F8F" w:rsidRPr="00FD4F8F">
                <w:rPr>
                  <w:rStyle w:val="Hipervnculo"/>
                  <w:rFonts w:ascii="Times New Roman" w:eastAsia="Times New Roman" w:hAnsi="Times New Roman" w:cs="Times New Roman"/>
                  <w:sz w:val="24"/>
                  <w:szCs w:val="24"/>
                </w:rPr>
                <w:t>https://www.inegi.org.mx/programas/cntaippdpf/2020/</w:t>
              </w:r>
            </w:hyperlink>
            <w:r w:rsidR="00FD4F8F" w:rsidRPr="00BA784D">
              <w:rPr>
                <w:rFonts w:ascii="Times New Roman" w:eastAsia="Times New Roman" w:hAnsi="Times New Roman" w:cs="Times New Roman"/>
                <w:sz w:val="24"/>
                <w:szCs w:val="24"/>
              </w:rPr>
              <w:t xml:space="preserve"> y </w:t>
            </w:r>
            <w:hyperlink r:id="rId30" w:history="1">
              <w:r w:rsidR="00FD4F8F" w:rsidRPr="00FD4F8F">
                <w:rPr>
                  <w:rStyle w:val="Hipervnculo"/>
                  <w:rFonts w:ascii="Times New Roman" w:eastAsia="Times New Roman" w:hAnsi="Times New Roman" w:cs="Times New Roman"/>
                  <w:sz w:val="24"/>
                  <w:szCs w:val="24"/>
                </w:rPr>
                <w:t>https://www.inegi.org.mx/programas/cntaippdpe/2020/</w:t>
              </w:r>
            </w:hyperlink>
          </w:p>
        </w:tc>
      </w:tr>
      <w:tr w:rsidR="00640466" w:rsidRPr="00BA784D" w14:paraId="0794509A" w14:textId="77777777">
        <w:trPr>
          <w:trHeight w:val="397"/>
        </w:trPr>
        <w:tc>
          <w:tcPr>
            <w:tcW w:w="1968" w:type="dxa"/>
            <w:vAlign w:val="center"/>
          </w:tcPr>
          <w:p w14:paraId="634DE647" w14:textId="75CFB1D5" w:rsidR="00640466" w:rsidRPr="00BA784D" w:rsidRDefault="00640466"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2022 (CNTAIPPDPF y CNTAIPPDPE 2023)</w:t>
            </w:r>
          </w:p>
        </w:tc>
        <w:tc>
          <w:tcPr>
            <w:tcW w:w="6860" w:type="dxa"/>
            <w:gridSpan w:val="2"/>
            <w:vAlign w:val="center"/>
          </w:tcPr>
          <w:p w14:paraId="4AC58F6A" w14:textId="672BB7E1" w:rsidR="00640466" w:rsidRPr="00BA784D" w:rsidRDefault="00915762"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w:t>
            </w:r>
            <w:r w:rsidR="00110E78"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sz w:val="24"/>
                <w:szCs w:val="24"/>
              </w:rPr>
              <w:t>80-90</w:t>
            </w:r>
            <w:r w:rsidR="00640466" w:rsidRPr="00BA784D">
              <w:rPr>
                <w:rFonts w:ascii="Times New Roman" w:eastAsia="Times New Roman" w:hAnsi="Times New Roman" w:cs="Times New Roman"/>
                <w:sz w:val="24"/>
                <w:szCs w:val="24"/>
              </w:rPr>
              <w:t>%</w:t>
            </w:r>
          </w:p>
          <w:p w14:paraId="3E882230" w14:textId="51A5A9DE" w:rsidR="00915762" w:rsidRPr="00BA784D" w:rsidRDefault="00915762"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2. 100%</w:t>
            </w:r>
          </w:p>
        </w:tc>
      </w:tr>
      <w:tr w:rsidR="00640466" w:rsidRPr="00BA784D" w14:paraId="2A713606" w14:textId="77777777">
        <w:trPr>
          <w:trHeight w:val="397"/>
        </w:trPr>
        <w:tc>
          <w:tcPr>
            <w:tcW w:w="1968" w:type="dxa"/>
            <w:vAlign w:val="center"/>
          </w:tcPr>
          <w:p w14:paraId="5FE4CA28" w14:textId="0AF2D3D9" w:rsidR="00640466" w:rsidRPr="00BA784D" w:rsidRDefault="00640466"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2023 (CNTAIPPDPF y CNTAIPPDPE 2024)</w:t>
            </w:r>
          </w:p>
        </w:tc>
        <w:tc>
          <w:tcPr>
            <w:tcW w:w="6860" w:type="dxa"/>
            <w:gridSpan w:val="2"/>
            <w:vAlign w:val="center"/>
          </w:tcPr>
          <w:p w14:paraId="4616CC29" w14:textId="2784373B" w:rsidR="00640466" w:rsidRPr="00BA784D" w:rsidRDefault="00915762"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w:t>
            </w:r>
            <w:r w:rsidR="00110E78"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sz w:val="24"/>
                <w:szCs w:val="24"/>
              </w:rPr>
              <w:t>91-100</w:t>
            </w:r>
            <w:r w:rsidR="00640466" w:rsidRPr="00BA784D">
              <w:rPr>
                <w:rFonts w:ascii="Times New Roman" w:eastAsia="Times New Roman" w:hAnsi="Times New Roman" w:cs="Times New Roman"/>
                <w:sz w:val="24"/>
                <w:szCs w:val="24"/>
              </w:rPr>
              <w:t>%</w:t>
            </w:r>
          </w:p>
          <w:p w14:paraId="672C52CB" w14:textId="16479439" w:rsidR="00915762" w:rsidRPr="00BA784D" w:rsidRDefault="00915762"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w:t>
            </w:r>
            <w:r w:rsidR="00110E78"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sz w:val="24"/>
                <w:szCs w:val="24"/>
              </w:rPr>
              <w:t>100%</w:t>
            </w:r>
          </w:p>
        </w:tc>
      </w:tr>
      <w:tr w:rsidR="00640466" w:rsidRPr="00BA784D" w14:paraId="7B1E718C" w14:textId="77777777">
        <w:trPr>
          <w:trHeight w:val="397"/>
        </w:trPr>
        <w:tc>
          <w:tcPr>
            <w:tcW w:w="1968" w:type="dxa"/>
            <w:vAlign w:val="center"/>
          </w:tcPr>
          <w:p w14:paraId="54325CD2" w14:textId="0824C981" w:rsidR="00110E78" w:rsidRPr="00BA784D" w:rsidRDefault="00640466" w:rsidP="00110E78">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 xml:space="preserve">Meta 2024 (CNTAIPPDPF </w:t>
            </w:r>
            <w:r w:rsidRPr="00BA784D">
              <w:rPr>
                <w:rFonts w:ascii="Times New Roman" w:eastAsia="Times New Roman" w:hAnsi="Times New Roman" w:cs="Times New Roman"/>
                <w:smallCaps/>
                <w:sz w:val="24"/>
                <w:szCs w:val="24"/>
              </w:rPr>
              <w:lastRenderedPageBreak/>
              <w:t>y CNTAIPPDPE 2025)</w:t>
            </w:r>
          </w:p>
        </w:tc>
        <w:tc>
          <w:tcPr>
            <w:tcW w:w="6860" w:type="dxa"/>
            <w:gridSpan w:val="2"/>
            <w:vAlign w:val="center"/>
          </w:tcPr>
          <w:p w14:paraId="357F3203" w14:textId="530E149D" w:rsidR="00640466" w:rsidRPr="00BA784D" w:rsidRDefault="00915762"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1.</w:t>
            </w:r>
            <w:r w:rsidR="00110E78" w:rsidRPr="00BA784D">
              <w:rPr>
                <w:rFonts w:ascii="Times New Roman" w:eastAsia="Times New Roman" w:hAnsi="Times New Roman" w:cs="Times New Roman"/>
                <w:sz w:val="24"/>
                <w:szCs w:val="24"/>
              </w:rPr>
              <w:t xml:space="preserve"> </w:t>
            </w:r>
            <w:r w:rsidR="00640466" w:rsidRPr="00BA784D">
              <w:rPr>
                <w:rFonts w:ascii="Times New Roman" w:eastAsia="Times New Roman" w:hAnsi="Times New Roman" w:cs="Times New Roman"/>
                <w:sz w:val="24"/>
                <w:szCs w:val="24"/>
              </w:rPr>
              <w:t>100%</w:t>
            </w:r>
          </w:p>
          <w:p w14:paraId="2B1FB98F" w14:textId="5E39B6EE" w:rsidR="00915762" w:rsidRPr="00BA784D" w:rsidRDefault="00915762"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w:t>
            </w:r>
            <w:r w:rsidR="00110E78"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sz w:val="24"/>
                <w:szCs w:val="24"/>
              </w:rPr>
              <w:t>100%</w:t>
            </w:r>
          </w:p>
        </w:tc>
      </w:tr>
      <w:tr w:rsidR="00110E78" w:rsidRPr="00BA784D" w14:paraId="49B454A0" w14:textId="77777777">
        <w:trPr>
          <w:trHeight w:val="397"/>
        </w:trPr>
        <w:tc>
          <w:tcPr>
            <w:tcW w:w="1968" w:type="dxa"/>
            <w:vAlign w:val="center"/>
          </w:tcPr>
          <w:p w14:paraId="584D9E3F" w14:textId="616BA3A3" w:rsidR="00110E78" w:rsidRPr="00BA784D" w:rsidRDefault="00110E78" w:rsidP="00110E78">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2025 (CNTAIPPDPF y CNTAIPPDPE 2026)</w:t>
            </w:r>
          </w:p>
        </w:tc>
        <w:tc>
          <w:tcPr>
            <w:tcW w:w="6860" w:type="dxa"/>
            <w:gridSpan w:val="2"/>
            <w:vAlign w:val="center"/>
          </w:tcPr>
          <w:p w14:paraId="2CE573EE" w14:textId="77777777" w:rsidR="00110E78" w:rsidRPr="00BA784D" w:rsidRDefault="00110E78" w:rsidP="00110E78">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1. 100%</w:t>
            </w:r>
          </w:p>
          <w:p w14:paraId="34BCCA94" w14:textId="799D4767" w:rsidR="00110E78" w:rsidRPr="00BA784D" w:rsidRDefault="00110E78" w:rsidP="00110E78">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2. 100%</w:t>
            </w:r>
          </w:p>
        </w:tc>
      </w:tr>
      <w:tr w:rsidR="00110E78" w:rsidRPr="00BA784D" w14:paraId="09705FC7" w14:textId="77777777">
        <w:trPr>
          <w:trHeight w:val="397"/>
        </w:trPr>
        <w:tc>
          <w:tcPr>
            <w:tcW w:w="1968" w:type="dxa"/>
            <w:vAlign w:val="center"/>
          </w:tcPr>
          <w:p w14:paraId="6C7DAADA" w14:textId="5E0427E2" w:rsidR="00110E78" w:rsidRPr="00BA784D" w:rsidRDefault="00110E78" w:rsidP="00110E78">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2026 (CNTAIPPDPF y CNTAIPPDPE 2027)</w:t>
            </w:r>
          </w:p>
        </w:tc>
        <w:tc>
          <w:tcPr>
            <w:tcW w:w="6860" w:type="dxa"/>
            <w:gridSpan w:val="2"/>
            <w:vAlign w:val="center"/>
          </w:tcPr>
          <w:p w14:paraId="21C9215F" w14:textId="77777777" w:rsidR="00110E78" w:rsidRPr="00BA784D" w:rsidRDefault="00110E78" w:rsidP="00110E78">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1. 100%</w:t>
            </w:r>
          </w:p>
          <w:p w14:paraId="2C1053EC" w14:textId="3C12032B" w:rsidR="00110E78" w:rsidRPr="00BA784D" w:rsidRDefault="00110E78" w:rsidP="00110E78">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2. 100%</w:t>
            </w:r>
          </w:p>
        </w:tc>
      </w:tr>
      <w:tr w:rsidR="00FC2A4F" w:rsidRPr="00BA784D" w14:paraId="6C5774A7" w14:textId="77777777">
        <w:trPr>
          <w:trHeight w:val="397"/>
        </w:trPr>
        <w:tc>
          <w:tcPr>
            <w:tcW w:w="1968" w:type="dxa"/>
            <w:vAlign w:val="center"/>
          </w:tcPr>
          <w:p w14:paraId="5B943536" w14:textId="4A4EEBBB" w:rsidR="00FC2A4F" w:rsidRPr="00BA784D" w:rsidRDefault="00FC2A4F" w:rsidP="00FC2A4F">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comportamiento esperado</w:t>
            </w:r>
          </w:p>
        </w:tc>
        <w:tc>
          <w:tcPr>
            <w:tcW w:w="6860" w:type="dxa"/>
            <w:gridSpan w:val="2"/>
            <w:vAlign w:val="center"/>
          </w:tcPr>
          <w:p w14:paraId="5FCA3B72" w14:textId="7413E2BD" w:rsidR="00FC2A4F" w:rsidRPr="00BA784D" w:rsidRDefault="0089608F" w:rsidP="00FC2A4F">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Ascendente</w:t>
            </w:r>
          </w:p>
        </w:tc>
      </w:tr>
    </w:tbl>
    <w:p w14:paraId="59F6F674" w14:textId="77777777" w:rsidR="00E35B30" w:rsidRPr="00BA784D" w:rsidRDefault="00E35B30">
      <w:pPr>
        <w:spacing w:line="360" w:lineRule="auto"/>
        <w:rPr>
          <w:rFonts w:ascii="Times New Roman" w:eastAsia="Times New Roman" w:hAnsi="Times New Roman" w:cs="Times New Roman"/>
          <w:sz w:val="24"/>
          <w:szCs w:val="24"/>
        </w:rPr>
      </w:pPr>
    </w:p>
    <w:p w14:paraId="72599DE0" w14:textId="77777777" w:rsidR="00E35B30" w:rsidRPr="00BA784D" w:rsidRDefault="00E35B30">
      <w:pPr>
        <w:spacing w:line="360" w:lineRule="auto"/>
        <w:rPr>
          <w:rFonts w:ascii="Times New Roman" w:eastAsia="Times New Roman" w:hAnsi="Times New Roman" w:cs="Times New Roman"/>
          <w:sz w:val="24"/>
          <w:szCs w:val="24"/>
        </w:rPr>
      </w:pPr>
    </w:p>
    <w:p w14:paraId="730A7D21" w14:textId="77777777" w:rsidR="00E35B30" w:rsidRPr="00BA784D" w:rsidRDefault="00E35B30">
      <w:pPr>
        <w:spacing w:line="360" w:lineRule="auto"/>
        <w:rPr>
          <w:rFonts w:ascii="Times New Roman" w:eastAsia="Times New Roman" w:hAnsi="Times New Roman" w:cs="Times New Roman"/>
          <w:sz w:val="24"/>
          <w:szCs w:val="24"/>
        </w:rPr>
      </w:pPr>
    </w:p>
    <w:p w14:paraId="746F4469" w14:textId="1AD508E7" w:rsidR="00E35B30" w:rsidRPr="00BA784D" w:rsidRDefault="00E35B30">
      <w:pPr>
        <w:spacing w:line="360" w:lineRule="auto"/>
        <w:rPr>
          <w:rFonts w:ascii="Times New Roman" w:eastAsia="Times New Roman" w:hAnsi="Times New Roman" w:cs="Times New Roman"/>
          <w:sz w:val="24"/>
          <w:szCs w:val="24"/>
        </w:rPr>
      </w:pPr>
    </w:p>
    <w:p w14:paraId="79C33951" w14:textId="33D03384" w:rsidR="00640466" w:rsidRPr="00BA784D" w:rsidRDefault="00640466">
      <w:pPr>
        <w:spacing w:line="360" w:lineRule="auto"/>
        <w:rPr>
          <w:rFonts w:ascii="Times New Roman" w:eastAsia="Times New Roman" w:hAnsi="Times New Roman" w:cs="Times New Roman"/>
          <w:sz w:val="24"/>
          <w:szCs w:val="24"/>
        </w:rPr>
      </w:pPr>
    </w:p>
    <w:p w14:paraId="555520EC" w14:textId="40953E22" w:rsidR="00640466" w:rsidRPr="00BA784D" w:rsidRDefault="00640466">
      <w:pPr>
        <w:spacing w:line="360" w:lineRule="auto"/>
        <w:rPr>
          <w:rFonts w:ascii="Times New Roman" w:eastAsia="Times New Roman" w:hAnsi="Times New Roman" w:cs="Times New Roman"/>
          <w:sz w:val="24"/>
          <w:szCs w:val="24"/>
        </w:rPr>
      </w:pPr>
    </w:p>
    <w:p w14:paraId="387D7352" w14:textId="0869FA85" w:rsidR="00640466" w:rsidRPr="00BA784D" w:rsidRDefault="00640466">
      <w:pPr>
        <w:spacing w:line="360" w:lineRule="auto"/>
        <w:rPr>
          <w:rFonts w:ascii="Times New Roman" w:eastAsia="Times New Roman" w:hAnsi="Times New Roman" w:cs="Times New Roman"/>
          <w:sz w:val="24"/>
          <w:szCs w:val="24"/>
        </w:rPr>
      </w:pPr>
    </w:p>
    <w:p w14:paraId="64BC81F4" w14:textId="1836DC66" w:rsidR="00640466" w:rsidRPr="00BA784D" w:rsidRDefault="00640466">
      <w:pPr>
        <w:spacing w:line="360" w:lineRule="auto"/>
        <w:rPr>
          <w:rFonts w:ascii="Times New Roman" w:eastAsia="Times New Roman" w:hAnsi="Times New Roman" w:cs="Times New Roman"/>
          <w:sz w:val="24"/>
          <w:szCs w:val="24"/>
        </w:rPr>
      </w:pPr>
    </w:p>
    <w:p w14:paraId="0BB1F0ED" w14:textId="456A9A8A" w:rsidR="00640466" w:rsidRPr="00BA784D" w:rsidRDefault="00640466">
      <w:pPr>
        <w:spacing w:line="360" w:lineRule="auto"/>
        <w:rPr>
          <w:rFonts w:ascii="Times New Roman" w:eastAsia="Times New Roman" w:hAnsi="Times New Roman" w:cs="Times New Roman"/>
          <w:sz w:val="24"/>
          <w:szCs w:val="24"/>
        </w:rPr>
      </w:pPr>
    </w:p>
    <w:p w14:paraId="25B78CDB" w14:textId="518F3E74" w:rsidR="00640466" w:rsidRPr="00BA784D" w:rsidRDefault="00640466">
      <w:pPr>
        <w:spacing w:line="360" w:lineRule="auto"/>
        <w:rPr>
          <w:rFonts w:ascii="Times New Roman" w:eastAsia="Times New Roman" w:hAnsi="Times New Roman" w:cs="Times New Roman"/>
          <w:sz w:val="24"/>
          <w:szCs w:val="24"/>
        </w:rPr>
      </w:pPr>
    </w:p>
    <w:p w14:paraId="7F5BC712" w14:textId="5C652B5C" w:rsidR="00640466" w:rsidRPr="00BA784D" w:rsidRDefault="00640466">
      <w:pPr>
        <w:spacing w:line="360" w:lineRule="auto"/>
        <w:rPr>
          <w:rFonts w:ascii="Times New Roman" w:eastAsia="Times New Roman" w:hAnsi="Times New Roman" w:cs="Times New Roman"/>
          <w:sz w:val="24"/>
          <w:szCs w:val="24"/>
        </w:rPr>
      </w:pPr>
    </w:p>
    <w:p w14:paraId="303D4915" w14:textId="50A226A7" w:rsidR="00640466" w:rsidRPr="00BA784D" w:rsidRDefault="00640466">
      <w:pPr>
        <w:spacing w:line="360" w:lineRule="auto"/>
        <w:rPr>
          <w:rFonts w:ascii="Times New Roman" w:eastAsia="Times New Roman" w:hAnsi="Times New Roman" w:cs="Times New Roman"/>
          <w:sz w:val="24"/>
          <w:szCs w:val="24"/>
        </w:rPr>
      </w:pPr>
    </w:p>
    <w:p w14:paraId="77B1B4DF" w14:textId="520B991B" w:rsidR="00640466" w:rsidRPr="00BA784D" w:rsidRDefault="00640466">
      <w:pPr>
        <w:spacing w:line="360" w:lineRule="auto"/>
        <w:rPr>
          <w:rFonts w:ascii="Times New Roman" w:eastAsia="Times New Roman" w:hAnsi="Times New Roman" w:cs="Times New Roman"/>
          <w:sz w:val="24"/>
          <w:szCs w:val="24"/>
        </w:rPr>
      </w:pPr>
    </w:p>
    <w:p w14:paraId="21FD807F" w14:textId="5F353AF7" w:rsidR="00640466" w:rsidRPr="00BA784D" w:rsidRDefault="00640466">
      <w:pPr>
        <w:spacing w:line="360" w:lineRule="auto"/>
        <w:rPr>
          <w:rFonts w:ascii="Times New Roman" w:eastAsia="Times New Roman" w:hAnsi="Times New Roman" w:cs="Times New Roman"/>
          <w:sz w:val="24"/>
          <w:szCs w:val="24"/>
        </w:rPr>
      </w:pPr>
    </w:p>
    <w:p w14:paraId="1823EF92" w14:textId="4C211B49" w:rsidR="00640466" w:rsidRPr="00BA784D" w:rsidRDefault="00640466">
      <w:pPr>
        <w:spacing w:line="360" w:lineRule="auto"/>
        <w:rPr>
          <w:rFonts w:ascii="Times New Roman" w:eastAsia="Times New Roman" w:hAnsi="Times New Roman" w:cs="Times New Roman"/>
          <w:sz w:val="24"/>
          <w:szCs w:val="24"/>
        </w:rPr>
      </w:pPr>
    </w:p>
    <w:p w14:paraId="2D20AEDD" w14:textId="60C2633E" w:rsidR="00640466" w:rsidRPr="00BA784D" w:rsidRDefault="00640466">
      <w:pPr>
        <w:spacing w:line="360" w:lineRule="auto"/>
        <w:rPr>
          <w:rFonts w:ascii="Times New Roman" w:eastAsia="Times New Roman" w:hAnsi="Times New Roman" w:cs="Times New Roman"/>
          <w:sz w:val="24"/>
          <w:szCs w:val="24"/>
        </w:rPr>
      </w:pPr>
    </w:p>
    <w:p w14:paraId="1C6625B4" w14:textId="687422B1" w:rsidR="00640466" w:rsidRPr="00BA784D" w:rsidRDefault="00640466">
      <w:pPr>
        <w:spacing w:line="360" w:lineRule="auto"/>
        <w:rPr>
          <w:rFonts w:ascii="Times New Roman" w:eastAsia="Times New Roman" w:hAnsi="Times New Roman" w:cs="Times New Roman"/>
          <w:sz w:val="24"/>
          <w:szCs w:val="24"/>
        </w:rPr>
      </w:pPr>
    </w:p>
    <w:tbl>
      <w:tblPr>
        <w:tblStyle w:val="8"/>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E35B30" w:rsidRPr="00BA784D" w14:paraId="6432F7D7" w14:textId="77777777">
        <w:trPr>
          <w:trHeight w:val="397"/>
        </w:trPr>
        <w:tc>
          <w:tcPr>
            <w:tcW w:w="8828" w:type="dxa"/>
            <w:gridSpan w:val="2"/>
            <w:vAlign w:val="center"/>
          </w:tcPr>
          <w:p w14:paraId="0C2AE229" w14:textId="39EE6AC4" w:rsidR="00E35B30" w:rsidRPr="00BA784D" w:rsidRDefault="0036612A">
            <w:pPr>
              <w:pStyle w:val="Ttulo4"/>
              <w:spacing w:line="360" w:lineRule="auto"/>
              <w:ind w:firstLine="100"/>
              <w:jc w:val="both"/>
              <w:rPr>
                <w:rFonts w:ascii="Times New Roman" w:eastAsia="Times New Roman" w:hAnsi="Times New Roman" w:cs="Times New Roman"/>
              </w:rPr>
            </w:pPr>
            <w:bookmarkStart w:id="57" w:name="_Toc102051250"/>
            <w:r w:rsidRPr="00BA784D">
              <w:rPr>
                <w:rFonts w:ascii="Times New Roman" w:eastAsia="Times New Roman" w:hAnsi="Times New Roman" w:cs="Times New Roman"/>
              </w:rPr>
              <w:lastRenderedPageBreak/>
              <w:t xml:space="preserve">FICHA INDICADOR 3.3. Índice de </w:t>
            </w:r>
            <w:r w:rsidR="0093345B" w:rsidRPr="00BA784D">
              <w:rPr>
                <w:rFonts w:ascii="Times New Roman" w:eastAsia="Times New Roman" w:hAnsi="Times New Roman" w:cs="Times New Roman"/>
              </w:rPr>
              <w:t xml:space="preserve">promoción </w:t>
            </w:r>
            <w:r w:rsidRPr="00BA784D">
              <w:rPr>
                <w:rFonts w:ascii="Times New Roman" w:eastAsia="Times New Roman" w:hAnsi="Times New Roman" w:cs="Times New Roman"/>
              </w:rPr>
              <w:t>de transparencia proactiva.</w:t>
            </w:r>
            <w:bookmarkEnd w:id="57"/>
          </w:p>
        </w:tc>
      </w:tr>
      <w:tr w:rsidR="00E35B30" w:rsidRPr="00BA784D" w14:paraId="41960E42" w14:textId="77777777">
        <w:trPr>
          <w:trHeight w:val="397"/>
        </w:trPr>
        <w:tc>
          <w:tcPr>
            <w:tcW w:w="1969" w:type="dxa"/>
            <w:shd w:val="clear" w:color="auto" w:fill="767171"/>
            <w:vAlign w:val="center"/>
          </w:tcPr>
          <w:p w14:paraId="125ACEBF"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color w:val="FFFFFF"/>
                <w:sz w:val="24"/>
                <w:szCs w:val="24"/>
              </w:rPr>
              <w:t>ELEMENTO</w:t>
            </w:r>
          </w:p>
        </w:tc>
        <w:tc>
          <w:tcPr>
            <w:tcW w:w="6859" w:type="dxa"/>
            <w:shd w:val="clear" w:color="auto" w:fill="767171"/>
            <w:vAlign w:val="center"/>
          </w:tcPr>
          <w:p w14:paraId="40BA2E7B" w14:textId="77777777" w:rsidR="00E35B30" w:rsidRPr="00BA784D" w:rsidRDefault="0036612A">
            <w:pPr>
              <w:spacing w:line="360" w:lineRule="auto"/>
              <w:jc w:val="center"/>
              <w:rPr>
                <w:rFonts w:ascii="Times New Roman" w:eastAsia="Times New Roman" w:hAnsi="Times New Roman" w:cs="Times New Roman"/>
                <w:color w:val="FFFFFF"/>
                <w:sz w:val="24"/>
                <w:szCs w:val="24"/>
              </w:rPr>
            </w:pPr>
            <w:r w:rsidRPr="00BA784D">
              <w:rPr>
                <w:rFonts w:ascii="Times New Roman" w:eastAsia="Times New Roman" w:hAnsi="Times New Roman" w:cs="Times New Roman"/>
                <w:b/>
                <w:color w:val="FFFFFF"/>
                <w:sz w:val="24"/>
                <w:szCs w:val="24"/>
              </w:rPr>
              <w:t>CARACTERÍSTICA</w:t>
            </w:r>
          </w:p>
        </w:tc>
      </w:tr>
      <w:tr w:rsidR="00E35B30" w:rsidRPr="00BA784D" w14:paraId="11FFAECD" w14:textId="77777777">
        <w:trPr>
          <w:trHeight w:val="397"/>
        </w:trPr>
        <w:tc>
          <w:tcPr>
            <w:tcW w:w="1969" w:type="dxa"/>
          </w:tcPr>
          <w:p w14:paraId="34ADD132" w14:textId="77777777" w:rsidR="00E35B30" w:rsidRPr="00BA784D" w:rsidRDefault="0036612A">
            <w:pPr>
              <w:spacing w:line="360" w:lineRule="auto"/>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Eje</w:t>
            </w:r>
          </w:p>
        </w:tc>
        <w:tc>
          <w:tcPr>
            <w:tcW w:w="6859" w:type="dxa"/>
          </w:tcPr>
          <w:p w14:paraId="0B3F2F21"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 Políticas de Transparencia: Estado Abierto, Gobierno Digital, Transparencia Proactiva, SIPOT y Datos Abiertos</w:t>
            </w:r>
          </w:p>
        </w:tc>
      </w:tr>
      <w:tr w:rsidR="00E35B30" w:rsidRPr="00BA784D" w14:paraId="6CE963C4" w14:textId="77777777">
        <w:trPr>
          <w:trHeight w:val="397"/>
        </w:trPr>
        <w:tc>
          <w:tcPr>
            <w:tcW w:w="1969" w:type="dxa"/>
          </w:tcPr>
          <w:p w14:paraId="18E1AF97"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Objetivo</w:t>
            </w:r>
          </w:p>
        </w:tc>
        <w:tc>
          <w:tcPr>
            <w:tcW w:w="6859" w:type="dxa"/>
          </w:tcPr>
          <w:p w14:paraId="2519E16A" w14:textId="0A82AFA8"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3.3 Promover que la información generada y divulgada coadyuve a la toma de decisiones, reduzca las barreras de acceso a la información pública y resuelva problemáticas sociales específicas.</w:t>
            </w:r>
          </w:p>
        </w:tc>
      </w:tr>
      <w:tr w:rsidR="00E35B30" w:rsidRPr="00BA784D" w14:paraId="5810A7AF" w14:textId="77777777">
        <w:trPr>
          <w:trHeight w:val="397"/>
        </w:trPr>
        <w:tc>
          <w:tcPr>
            <w:tcW w:w="1969" w:type="dxa"/>
          </w:tcPr>
          <w:p w14:paraId="50A54240"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Descripción general</w:t>
            </w:r>
          </w:p>
        </w:tc>
        <w:tc>
          <w:tcPr>
            <w:tcW w:w="6859" w:type="dxa"/>
          </w:tcPr>
          <w:p w14:paraId="6EEB6864" w14:textId="77777777"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Medir la cobertura de las acciones de seguimiento de la política de transparencia proactiva.</w:t>
            </w:r>
          </w:p>
        </w:tc>
      </w:tr>
      <w:tr w:rsidR="00E35B30" w:rsidRPr="00BA784D" w14:paraId="566443DF" w14:textId="77777777">
        <w:trPr>
          <w:trHeight w:val="397"/>
        </w:trPr>
        <w:tc>
          <w:tcPr>
            <w:tcW w:w="1969" w:type="dxa"/>
          </w:tcPr>
          <w:p w14:paraId="11FDB906"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Método de cálculo</w:t>
            </w:r>
          </w:p>
        </w:tc>
        <w:tc>
          <w:tcPr>
            <w:tcW w:w="6859" w:type="dxa"/>
          </w:tcPr>
          <w:p w14:paraId="4DAFC37E" w14:textId="14562A90" w:rsidR="00E35B30" w:rsidRPr="00BA784D" w:rsidRDefault="0027114E">
            <w:pPr>
              <w:jc w:val="center"/>
              <w:rPr>
                <w:rFonts w:ascii="Times New Roman" w:eastAsia="Times New Roman" w:hAnsi="Times New Roman" w:cs="Times New Roman"/>
                <w:color w:val="000000"/>
                <w:sz w:val="24"/>
                <w:szCs w:val="24"/>
              </w:rPr>
            </w:pPr>
            <m:oMathPara>
              <m:oMath>
                <m:d>
                  <m:dPr>
                    <m:ctrlPr>
                      <w:rPr>
                        <w:rFonts w:ascii="Cambria Math" w:hAnsi="Cambria Math"/>
                      </w:rPr>
                    </m:ctrlPr>
                  </m:dPr>
                  <m:e>
                    <m:f>
                      <m:fPr>
                        <m:ctrlPr>
                          <w:rPr>
                            <w:rFonts w:ascii="Times New Roman" w:eastAsia="Times New Roman" w:hAnsi="Times New Roman" w:cs="Times New Roman"/>
                            <w:color w:val="000000"/>
                            <w:sz w:val="24"/>
                            <w:szCs w:val="24"/>
                          </w:rPr>
                        </m:ctrlPr>
                      </m:fPr>
                      <m:num>
                        <m:r>
                          <w:rPr>
                            <w:rFonts w:ascii="Times New Roman" w:eastAsia="Times New Roman" w:hAnsi="Times New Roman" w:cs="Times New Roman"/>
                            <w:color w:val="000000"/>
                            <w:sz w:val="24"/>
                            <w:szCs w:val="24"/>
                          </w:rPr>
                          <m:t>EvImp+EvTP</m:t>
                        </m:r>
                      </m:num>
                      <m:den>
                        <m:r>
                          <w:rPr>
                            <w:rFonts w:ascii="Times New Roman" w:eastAsia="Times New Roman" w:hAnsi="Times New Roman" w:cs="Times New Roman"/>
                            <w:color w:val="000000"/>
                            <w:sz w:val="24"/>
                            <w:szCs w:val="24"/>
                          </w:rPr>
                          <m:t>2</m:t>
                        </m:r>
                      </m:den>
                    </m:f>
                  </m:e>
                </m:d>
                <m:r>
                  <w:rPr>
                    <w:rFonts w:ascii="Times New Roman" w:eastAsia="Times New Roman" w:hAnsi="Times New Roman" w:cs="Times New Roman"/>
                    <w:color w:val="000000"/>
                    <w:sz w:val="24"/>
                    <w:szCs w:val="24"/>
                  </w:rPr>
                  <m:t>x 100</m:t>
                </m:r>
              </m:oMath>
            </m:oMathPara>
          </w:p>
          <w:p w14:paraId="25C6F326" w14:textId="77777777" w:rsidR="00BA784D" w:rsidRDefault="00BA784D">
            <w:pPr>
              <w:pBdr>
                <w:top w:val="nil"/>
                <w:left w:val="nil"/>
                <w:bottom w:val="nil"/>
                <w:right w:val="nil"/>
                <w:between w:val="nil"/>
              </w:pBdr>
              <w:spacing w:line="360" w:lineRule="auto"/>
              <w:rPr>
                <w:rFonts w:ascii="Times New Roman" w:eastAsia="Times New Roman" w:hAnsi="Times New Roman" w:cs="Times New Roman"/>
                <w:color w:val="000000"/>
                <w:sz w:val="24"/>
                <w:szCs w:val="24"/>
              </w:rPr>
            </w:pPr>
            <w:bookmarkStart w:id="58" w:name="_heading=h.1fob9te" w:colFirst="0" w:colLast="0"/>
            <w:bookmarkEnd w:id="58"/>
          </w:p>
          <w:p w14:paraId="6AEB87F8" w14:textId="2860D48D"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Donde:</w:t>
            </w:r>
          </w:p>
          <w:p w14:paraId="68CC3512" w14:textId="4DB08F97"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color w:val="000000"/>
                <w:sz w:val="24"/>
                <w:szCs w:val="24"/>
              </w:rPr>
            </w:pPr>
            <m:oMath>
              <m:r>
                <w:rPr>
                  <w:rFonts w:ascii="Times New Roman" w:eastAsia="Times New Roman" w:hAnsi="Times New Roman" w:cs="Times New Roman"/>
                  <w:color w:val="000000"/>
                  <w:sz w:val="24"/>
                  <w:szCs w:val="24"/>
                </w:rPr>
                <m:t>EvImp</m:t>
              </m:r>
            </m:oMath>
            <w:r w:rsidRPr="00BA784D">
              <w:rPr>
                <w:rFonts w:ascii="Times New Roman" w:eastAsia="Times New Roman" w:hAnsi="Times New Roman" w:cs="Times New Roman"/>
                <w:color w:val="000000"/>
                <w:sz w:val="24"/>
                <w:szCs w:val="24"/>
              </w:rPr>
              <w:t>, se refiere a</w:t>
            </w:r>
            <w:r w:rsidR="002D7DA2" w:rsidRPr="00BA784D">
              <w:rPr>
                <w:rFonts w:ascii="Times New Roman" w:eastAsia="Times New Roman" w:hAnsi="Times New Roman" w:cs="Times New Roman"/>
                <w:color w:val="000000"/>
                <w:sz w:val="24"/>
                <w:szCs w:val="24"/>
              </w:rPr>
              <w:t xml:space="preserve"> </w:t>
            </w:r>
            <w:r w:rsidR="00561D9E" w:rsidRPr="00BA784D">
              <w:rPr>
                <w:rFonts w:ascii="Times New Roman" w:eastAsia="Times New Roman" w:hAnsi="Times New Roman" w:cs="Times New Roman"/>
                <w:color w:val="000000"/>
                <w:sz w:val="24"/>
                <w:szCs w:val="24"/>
              </w:rPr>
              <w:t>l</w:t>
            </w:r>
            <w:r w:rsidR="002D7DA2" w:rsidRPr="00BA784D">
              <w:rPr>
                <w:rFonts w:ascii="Times New Roman" w:eastAsia="Times New Roman" w:hAnsi="Times New Roman" w:cs="Times New Roman"/>
                <w:color w:val="000000"/>
                <w:sz w:val="24"/>
                <w:szCs w:val="24"/>
              </w:rPr>
              <w:t>a</w:t>
            </w:r>
            <w:r w:rsidR="00561D9E" w:rsidRPr="00BA784D">
              <w:rPr>
                <w:rFonts w:ascii="Times New Roman" w:eastAsia="Times New Roman" w:hAnsi="Times New Roman" w:cs="Times New Roman"/>
                <w:color w:val="000000"/>
                <w:sz w:val="24"/>
                <w:szCs w:val="24"/>
              </w:rPr>
              <w:t xml:space="preserve"> </w:t>
            </w:r>
            <w:r w:rsidR="002D7DA2" w:rsidRPr="00BA784D">
              <w:rPr>
                <w:rFonts w:ascii="Times New Roman" w:eastAsia="Times New Roman" w:hAnsi="Times New Roman" w:cs="Times New Roman"/>
                <w:color w:val="000000"/>
                <w:sz w:val="24"/>
                <w:szCs w:val="24"/>
              </w:rPr>
              <w:t xml:space="preserve">proporción </w:t>
            </w:r>
            <w:r w:rsidRPr="00BA784D">
              <w:rPr>
                <w:rFonts w:ascii="Times New Roman" w:eastAsia="Times New Roman" w:hAnsi="Times New Roman" w:cs="Times New Roman"/>
                <w:color w:val="000000"/>
                <w:sz w:val="24"/>
                <w:szCs w:val="24"/>
              </w:rPr>
              <w:t>total</w:t>
            </w:r>
            <w:r w:rsidR="00A47B00" w:rsidRPr="00BA784D">
              <w:rPr>
                <w:rFonts w:ascii="Times New Roman" w:eastAsia="Times New Roman" w:hAnsi="Times New Roman" w:cs="Times New Roman"/>
                <w:color w:val="000000"/>
                <w:sz w:val="24"/>
                <w:szCs w:val="24"/>
              </w:rPr>
              <w:t xml:space="preserve"> </w:t>
            </w:r>
            <w:r w:rsidRPr="00BA784D">
              <w:rPr>
                <w:rFonts w:ascii="Times New Roman" w:eastAsia="Times New Roman" w:hAnsi="Times New Roman" w:cs="Times New Roman"/>
                <w:color w:val="000000"/>
                <w:sz w:val="24"/>
                <w:szCs w:val="24"/>
              </w:rPr>
              <w:t>de Organismos Garantes que reportaron evaluar el impacto de los efectos generados por la publicación, difusión de la información y/o el conocimiento.</w:t>
            </w:r>
          </w:p>
          <w:p w14:paraId="7D1CD6AA" w14:textId="46F524D8"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sz w:val="24"/>
                <w:szCs w:val="24"/>
              </w:rPr>
            </w:pPr>
            <m:oMath>
              <m:r>
                <w:rPr>
                  <w:rFonts w:ascii="Times New Roman" w:eastAsia="Times New Roman" w:hAnsi="Times New Roman" w:cs="Times New Roman"/>
                  <w:color w:val="000000"/>
                  <w:sz w:val="24"/>
                  <w:szCs w:val="24"/>
                </w:rPr>
                <m:t>EvTP</m:t>
              </m:r>
            </m:oMath>
            <w:r w:rsidRPr="00BA784D">
              <w:rPr>
                <w:rFonts w:ascii="Times New Roman" w:eastAsia="Times New Roman" w:hAnsi="Times New Roman" w:cs="Times New Roman"/>
                <w:color w:val="000000"/>
                <w:sz w:val="24"/>
                <w:szCs w:val="24"/>
              </w:rPr>
              <w:t>, se refiere a</w:t>
            </w:r>
            <w:r w:rsidR="002D7DA2" w:rsidRPr="00BA784D">
              <w:rPr>
                <w:rFonts w:ascii="Times New Roman" w:eastAsia="Times New Roman" w:hAnsi="Times New Roman" w:cs="Times New Roman"/>
                <w:color w:val="000000"/>
                <w:sz w:val="24"/>
                <w:szCs w:val="24"/>
              </w:rPr>
              <w:t xml:space="preserve"> </w:t>
            </w:r>
            <w:r w:rsidRPr="00BA784D">
              <w:rPr>
                <w:rFonts w:ascii="Times New Roman" w:eastAsia="Times New Roman" w:hAnsi="Times New Roman" w:cs="Times New Roman"/>
                <w:color w:val="000000"/>
                <w:sz w:val="24"/>
                <w:szCs w:val="24"/>
              </w:rPr>
              <w:t>l</w:t>
            </w:r>
            <w:r w:rsidR="002D7DA2" w:rsidRPr="00BA784D">
              <w:rPr>
                <w:rFonts w:ascii="Times New Roman" w:eastAsia="Times New Roman" w:hAnsi="Times New Roman" w:cs="Times New Roman"/>
                <w:color w:val="000000"/>
                <w:sz w:val="24"/>
                <w:szCs w:val="24"/>
              </w:rPr>
              <w:t>a</w:t>
            </w:r>
            <w:r w:rsidRPr="00BA784D">
              <w:rPr>
                <w:rFonts w:ascii="Times New Roman" w:eastAsia="Times New Roman" w:hAnsi="Times New Roman" w:cs="Times New Roman"/>
                <w:color w:val="000000"/>
                <w:sz w:val="24"/>
                <w:szCs w:val="24"/>
              </w:rPr>
              <w:t xml:space="preserve"> </w:t>
            </w:r>
            <w:r w:rsidR="002D7DA2" w:rsidRPr="00BA784D">
              <w:rPr>
                <w:rFonts w:ascii="Times New Roman" w:eastAsia="Times New Roman" w:hAnsi="Times New Roman" w:cs="Times New Roman"/>
                <w:color w:val="000000"/>
                <w:sz w:val="24"/>
                <w:szCs w:val="24"/>
              </w:rPr>
              <w:t>proporción</w:t>
            </w:r>
            <w:r w:rsidR="00561D9E" w:rsidRPr="00BA784D">
              <w:rPr>
                <w:rFonts w:ascii="Times New Roman" w:eastAsia="Times New Roman" w:hAnsi="Times New Roman" w:cs="Times New Roman"/>
                <w:color w:val="000000"/>
                <w:sz w:val="24"/>
                <w:szCs w:val="24"/>
              </w:rPr>
              <w:t xml:space="preserve"> </w:t>
            </w:r>
            <w:r w:rsidRPr="00BA784D">
              <w:rPr>
                <w:rFonts w:ascii="Times New Roman" w:eastAsia="Times New Roman" w:hAnsi="Times New Roman" w:cs="Times New Roman"/>
                <w:color w:val="000000"/>
                <w:sz w:val="24"/>
                <w:szCs w:val="24"/>
              </w:rPr>
              <w:t>total de Organismos Garantes que reportaron realizar acciones de diseño, implementación y evaluación de una política de transparencia proactiva en los sujetos obligados.</w:t>
            </w:r>
          </w:p>
        </w:tc>
      </w:tr>
      <w:tr w:rsidR="00E35B30" w:rsidRPr="00BA784D" w14:paraId="628F276D" w14:textId="77777777">
        <w:trPr>
          <w:trHeight w:val="397"/>
        </w:trPr>
        <w:tc>
          <w:tcPr>
            <w:tcW w:w="1969" w:type="dxa"/>
          </w:tcPr>
          <w:p w14:paraId="5F8CB5A0"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Periodicidad</w:t>
            </w:r>
          </w:p>
        </w:tc>
        <w:tc>
          <w:tcPr>
            <w:tcW w:w="6859" w:type="dxa"/>
          </w:tcPr>
          <w:p w14:paraId="34209F61"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Anual.</w:t>
            </w:r>
          </w:p>
        </w:tc>
      </w:tr>
      <w:tr w:rsidR="00E35B30" w:rsidRPr="00BA784D" w14:paraId="26923DA4" w14:textId="77777777">
        <w:trPr>
          <w:trHeight w:val="397"/>
        </w:trPr>
        <w:tc>
          <w:tcPr>
            <w:tcW w:w="1969" w:type="dxa"/>
          </w:tcPr>
          <w:p w14:paraId="28E85C9D"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Medios de verificación</w:t>
            </w:r>
          </w:p>
        </w:tc>
        <w:tc>
          <w:tcPr>
            <w:tcW w:w="6859" w:type="dxa"/>
          </w:tcPr>
          <w:p w14:paraId="7764FBA8" w14:textId="45933DFF" w:rsidR="00505E6F" w:rsidRPr="00BA784D" w:rsidRDefault="0036612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INEGI. Censo Nacional de Transparencia, Acceso a la Información Pública y Protección de Datos Personales</w:t>
            </w:r>
            <w:r w:rsidR="00505E6F" w:rsidRPr="00BA784D">
              <w:rPr>
                <w:rFonts w:ascii="Times New Roman" w:eastAsia="Times New Roman" w:hAnsi="Times New Roman" w:cs="Times New Roman"/>
                <w:color w:val="000000"/>
                <w:sz w:val="24"/>
                <w:szCs w:val="24"/>
              </w:rPr>
              <w:t xml:space="preserve"> Federal</w:t>
            </w:r>
            <w:r w:rsidRPr="00BA784D">
              <w:rPr>
                <w:rFonts w:ascii="Times New Roman" w:eastAsia="Times New Roman" w:hAnsi="Times New Roman" w:cs="Times New Roman"/>
                <w:color w:val="000000"/>
                <w:sz w:val="24"/>
                <w:szCs w:val="24"/>
              </w:rPr>
              <w:t xml:space="preserve"> (</w:t>
            </w:r>
            <w:r w:rsidR="00017507" w:rsidRPr="00BA784D">
              <w:rPr>
                <w:rFonts w:ascii="Times New Roman" w:eastAsia="Times New Roman" w:hAnsi="Times New Roman" w:cs="Times New Roman"/>
                <w:color w:val="000000"/>
                <w:sz w:val="24"/>
                <w:szCs w:val="24"/>
              </w:rPr>
              <w:t>CNTAIPPDP</w:t>
            </w:r>
            <w:r w:rsidR="00505E6F" w:rsidRPr="00BA784D">
              <w:rPr>
                <w:rFonts w:ascii="Times New Roman" w:eastAsia="Times New Roman" w:hAnsi="Times New Roman" w:cs="Times New Roman"/>
                <w:color w:val="000000"/>
                <w:sz w:val="24"/>
                <w:szCs w:val="24"/>
              </w:rPr>
              <w:t>F</w:t>
            </w:r>
            <w:r w:rsidRPr="00BA784D">
              <w:rPr>
                <w:rFonts w:ascii="Times New Roman" w:eastAsia="Times New Roman" w:hAnsi="Times New Roman" w:cs="Times New Roman"/>
                <w:color w:val="000000"/>
                <w:sz w:val="24"/>
                <w:szCs w:val="24"/>
              </w:rPr>
              <w:t>).</w:t>
            </w:r>
          </w:p>
          <w:p w14:paraId="7535A89B" w14:textId="3754A44C" w:rsidR="00E35B30" w:rsidRPr="00BA784D" w:rsidRDefault="00505E6F">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Censo Nacional de Transparencia, Acceso a la Información Pública y Protección de Datos Personales Estatal (CNTAIPPDPE)</w:t>
            </w:r>
            <w:r w:rsidR="00F51508" w:rsidRPr="00BA784D">
              <w:rPr>
                <w:rFonts w:ascii="Times New Roman" w:eastAsia="Times New Roman" w:hAnsi="Times New Roman" w:cs="Times New Roman"/>
                <w:color w:val="000000"/>
                <w:sz w:val="24"/>
                <w:szCs w:val="24"/>
              </w:rPr>
              <w:t xml:space="preserve"> </w:t>
            </w:r>
          </w:p>
        </w:tc>
      </w:tr>
      <w:tr w:rsidR="00E35B30" w:rsidRPr="00BA784D" w14:paraId="572456C2" w14:textId="77777777">
        <w:trPr>
          <w:trHeight w:val="657"/>
        </w:trPr>
        <w:tc>
          <w:tcPr>
            <w:tcW w:w="1969" w:type="dxa"/>
            <w:vAlign w:val="center"/>
          </w:tcPr>
          <w:p w14:paraId="535395D1"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Reactivos utilizados</w:t>
            </w:r>
          </w:p>
        </w:tc>
        <w:tc>
          <w:tcPr>
            <w:tcW w:w="6859" w:type="dxa"/>
            <w:vAlign w:val="center"/>
          </w:tcPr>
          <w:p w14:paraId="48A75994"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Tabulado con la condición de promoción de acciones en materia de transparencia proactiva por parte del Organismo Garante hacia el total de sujetos obligados, por nivel de gobierno y entidad federativa </w:t>
            </w:r>
            <w:r w:rsidRPr="00BA784D">
              <w:rPr>
                <w:rFonts w:ascii="Times New Roman" w:eastAsia="Times New Roman" w:hAnsi="Times New Roman" w:cs="Times New Roman"/>
                <w:sz w:val="24"/>
                <w:szCs w:val="24"/>
              </w:rPr>
              <w:lastRenderedPageBreak/>
              <w:t>según tipo de acción</w:t>
            </w:r>
          </w:p>
        </w:tc>
      </w:tr>
      <w:tr w:rsidR="00E35B30" w:rsidRPr="00BA784D" w14:paraId="08BCB2D1" w14:textId="77777777">
        <w:trPr>
          <w:trHeight w:val="397"/>
        </w:trPr>
        <w:tc>
          <w:tcPr>
            <w:tcW w:w="1969" w:type="dxa"/>
          </w:tcPr>
          <w:p w14:paraId="28214212" w14:textId="77777777" w:rsidR="00E35B30" w:rsidRPr="00BA784D" w:rsidRDefault="0036612A">
            <w:pP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lastRenderedPageBreak/>
              <w:t>Actores vinculados con el indicador</w:t>
            </w:r>
          </w:p>
        </w:tc>
        <w:tc>
          <w:tcPr>
            <w:tcW w:w="6859" w:type="dxa"/>
          </w:tcPr>
          <w:p w14:paraId="1EF06E1B"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Organismos Garantes.</w:t>
            </w:r>
          </w:p>
        </w:tc>
      </w:tr>
      <w:tr w:rsidR="00640466" w:rsidRPr="00BA784D" w14:paraId="7A38EB31" w14:textId="77777777" w:rsidTr="00EC37B3">
        <w:trPr>
          <w:trHeight w:val="397"/>
        </w:trPr>
        <w:tc>
          <w:tcPr>
            <w:tcW w:w="1969" w:type="dxa"/>
            <w:vAlign w:val="center"/>
          </w:tcPr>
          <w:p w14:paraId="7B3921CC" w14:textId="3CBE3D13" w:rsidR="00640466" w:rsidRPr="00BA784D" w:rsidRDefault="00640466" w:rsidP="00640466">
            <w:pP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Línea base (CNTAIPPDPF y CNTAIPPDPE 2020)</w:t>
            </w:r>
          </w:p>
        </w:tc>
        <w:tc>
          <w:tcPr>
            <w:tcW w:w="6859" w:type="dxa"/>
          </w:tcPr>
          <w:p w14:paraId="376526EC" w14:textId="77777777" w:rsidR="00BA784D" w:rsidRDefault="00640466" w:rsidP="00640466">
            <w:pP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25.76% </w:t>
            </w:r>
          </w:p>
          <w:p w14:paraId="59D27755" w14:textId="6337A686" w:rsidR="00640466" w:rsidRPr="00BA784D" w:rsidRDefault="00640466" w:rsidP="00BA784D">
            <w:pP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br/>
            </w:r>
            <w:hyperlink r:id="rId31" w:history="1">
              <w:r w:rsidR="00FD4F8F" w:rsidRPr="00FD4F8F">
                <w:rPr>
                  <w:rStyle w:val="Hipervnculo"/>
                  <w:rFonts w:ascii="Times New Roman" w:eastAsia="Times New Roman" w:hAnsi="Times New Roman" w:cs="Times New Roman"/>
                  <w:sz w:val="24"/>
                  <w:szCs w:val="24"/>
                </w:rPr>
                <w:t>https://www.inegi.org.mx/programas/cntaippdpf/2020/</w:t>
              </w:r>
            </w:hyperlink>
            <w:r w:rsidR="00FD4F8F" w:rsidRPr="00BA784D">
              <w:rPr>
                <w:rFonts w:ascii="Times New Roman" w:eastAsia="Times New Roman" w:hAnsi="Times New Roman" w:cs="Times New Roman"/>
                <w:sz w:val="24"/>
                <w:szCs w:val="24"/>
              </w:rPr>
              <w:t xml:space="preserve"> y </w:t>
            </w:r>
            <w:hyperlink r:id="rId32" w:history="1">
              <w:r w:rsidR="00FD4F8F" w:rsidRPr="00FD4F8F">
                <w:rPr>
                  <w:rStyle w:val="Hipervnculo"/>
                  <w:rFonts w:ascii="Times New Roman" w:eastAsia="Times New Roman" w:hAnsi="Times New Roman" w:cs="Times New Roman"/>
                  <w:sz w:val="24"/>
                  <w:szCs w:val="24"/>
                </w:rPr>
                <w:t>https://www.inegi.org.mx/programas/cntaippdpe/2020/</w:t>
              </w:r>
            </w:hyperlink>
            <w:r w:rsidR="0089608F" w:rsidRPr="00BA784D">
              <w:rPr>
                <w:rFonts w:ascii="Times New Roman" w:eastAsia="Times New Roman" w:hAnsi="Times New Roman" w:cs="Times New Roman"/>
                <w:sz w:val="24"/>
                <w:szCs w:val="24"/>
              </w:rPr>
              <w:t>/</w:t>
            </w:r>
          </w:p>
        </w:tc>
      </w:tr>
      <w:tr w:rsidR="00640466" w:rsidRPr="00BA784D" w14:paraId="42464B07" w14:textId="77777777" w:rsidTr="00EC37B3">
        <w:trPr>
          <w:trHeight w:val="397"/>
        </w:trPr>
        <w:tc>
          <w:tcPr>
            <w:tcW w:w="1969" w:type="dxa"/>
            <w:vAlign w:val="center"/>
          </w:tcPr>
          <w:p w14:paraId="4512B151" w14:textId="68D89A6A" w:rsidR="00640466" w:rsidRPr="00BA784D" w:rsidRDefault="00640466" w:rsidP="00640466">
            <w:pP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2022 (CNTAIPPDPF y CNTAIPPDPE 2023)</w:t>
            </w:r>
          </w:p>
        </w:tc>
        <w:tc>
          <w:tcPr>
            <w:tcW w:w="6859" w:type="dxa"/>
          </w:tcPr>
          <w:p w14:paraId="792958F3" w14:textId="77777777" w:rsidR="00640466" w:rsidRPr="00BA784D" w:rsidRDefault="00640466" w:rsidP="00640466">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40-50%</w:t>
            </w:r>
          </w:p>
        </w:tc>
      </w:tr>
      <w:tr w:rsidR="00640466" w:rsidRPr="00BA784D" w14:paraId="0E3B8007" w14:textId="77777777" w:rsidTr="00EC37B3">
        <w:trPr>
          <w:trHeight w:val="397"/>
        </w:trPr>
        <w:tc>
          <w:tcPr>
            <w:tcW w:w="1969" w:type="dxa"/>
            <w:vAlign w:val="center"/>
          </w:tcPr>
          <w:p w14:paraId="627FF669" w14:textId="58A8B4B7" w:rsidR="00640466" w:rsidRPr="00BA784D" w:rsidRDefault="00640466" w:rsidP="00640466">
            <w:pP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2023 (CNTAIPPDPF y CNTAIPPDPE 2024)</w:t>
            </w:r>
          </w:p>
        </w:tc>
        <w:tc>
          <w:tcPr>
            <w:tcW w:w="6859" w:type="dxa"/>
          </w:tcPr>
          <w:p w14:paraId="621D0451" w14:textId="77777777" w:rsidR="00640466" w:rsidRPr="00BA784D" w:rsidRDefault="00640466" w:rsidP="00640466">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50-60%</w:t>
            </w:r>
          </w:p>
        </w:tc>
      </w:tr>
      <w:tr w:rsidR="00640466" w:rsidRPr="00BA784D" w14:paraId="6DB3DEE7" w14:textId="77777777" w:rsidTr="00EC37B3">
        <w:trPr>
          <w:trHeight w:val="397"/>
        </w:trPr>
        <w:tc>
          <w:tcPr>
            <w:tcW w:w="1969" w:type="dxa"/>
            <w:vAlign w:val="center"/>
          </w:tcPr>
          <w:p w14:paraId="170B2BBA" w14:textId="5B29B303" w:rsidR="00640466" w:rsidRPr="00BA784D" w:rsidRDefault="00640466" w:rsidP="00640466">
            <w:pP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2024 (CNTAIPPDPF y CNTAIPPDPE 2025)</w:t>
            </w:r>
          </w:p>
        </w:tc>
        <w:tc>
          <w:tcPr>
            <w:tcW w:w="6859" w:type="dxa"/>
          </w:tcPr>
          <w:p w14:paraId="229949E0" w14:textId="77777777" w:rsidR="00640466" w:rsidRPr="00BA784D" w:rsidRDefault="00640466" w:rsidP="00640466">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60-70%</w:t>
            </w:r>
          </w:p>
        </w:tc>
      </w:tr>
      <w:tr w:rsidR="00110E78" w:rsidRPr="00BA784D" w14:paraId="68888F6C" w14:textId="77777777" w:rsidTr="00EC37B3">
        <w:trPr>
          <w:trHeight w:val="397"/>
        </w:trPr>
        <w:tc>
          <w:tcPr>
            <w:tcW w:w="1969" w:type="dxa"/>
            <w:vAlign w:val="center"/>
          </w:tcPr>
          <w:p w14:paraId="07A4FBB3" w14:textId="4A53F1A5" w:rsidR="00110E78" w:rsidRPr="00BA784D" w:rsidRDefault="00110E78" w:rsidP="00640466">
            <w:pP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2025 (CNTAIPPDPF y CNTAIPPDPE 2026)</w:t>
            </w:r>
          </w:p>
        </w:tc>
        <w:tc>
          <w:tcPr>
            <w:tcW w:w="6859" w:type="dxa"/>
          </w:tcPr>
          <w:p w14:paraId="5F58B0EE" w14:textId="70A176CF" w:rsidR="00110E78" w:rsidRPr="00BA784D" w:rsidRDefault="00110E78" w:rsidP="00640466">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70-80%</w:t>
            </w:r>
          </w:p>
        </w:tc>
      </w:tr>
      <w:tr w:rsidR="00110E78" w:rsidRPr="00BA784D" w14:paraId="2B318389" w14:textId="77777777" w:rsidTr="00EC37B3">
        <w:trPr>
          <w:trHeight w:val="397"/>
        </w:trPr>
        <w:tc>
          <w:tcPr>
            <w:tcW w:w="1969" w:type="dxa"/>
            <w:vAlign w:val="center"/>
          </w:tcPr>
          <w:p w14:paraId="04704090" w14:textId="7A3F2876" w:rsidR="00110E78" w:rsidRPr="00BA784D" w:rsidRDefault="00110E78" w:rsidP="00640466">
            <w:pP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 xml:space="preserve">Meta 2026 (CNTAIPPDPF </w:t>
            </w:r>
            <w:r w:rsidRPr="00BA784D">
              <w:rPr>
                <w:rFonts w:ascii="Times New Roman" w:eastAsia="Times New Roman" w:hAnsi="Times New Roman" w:cs="Times New Roman"/>
                <w:smallCaps/>
                <w:sz w:val="24"/>
                <w:szCs w:val="24"/>
              </w:rPr>
              <w:lastRenderedPageBreak/>
              <w:t>y CNTAIPPDPE 2027)</w:t>
            </w:r>
          </w:p>
        </w:tc>
        <w:tc>
          <w:tcPr>
            <w:tcW w:w="6859" w:type="dxa"/>
          </w:tcPr>
          <w:p w14:paraId="61699978" w14:textId="0C9B8CDD" w:rsidR="00110E78" w:rsidRPr="00BA784D" w:rsidRDefault="00110E78" w:rsidP="00640466">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80-90%</w:t>
            </w:r>
          </w:p>
        </w:tc>
      </w:tr>
      <w:tr w:rsidR="00E35B30" w:rsidRPr="00BA784D" w14:paraId="25D765B5" w14:textId="77777777">
        <w:trPr>
          <w:trHeight w:val="397"/>
        </w:trPr>
        <w:tc>
          <w:tcPr>
            <w:tcW w:w="1969" w:type="dxa"/>
          </w:tcPr>
          <w:p w14:paraId="287B3D87" w14:textId="77777777" w:rsidR="00E35B30" w:rsidRPr="00BA784D" w:rsidRDefault="0036612A">
            <w:pP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Observaciones</w:t>
            </w:r>
          </w:p>
        </w:tc>
        <w:tc>
          <w:tcPr>
            <w:tcW w:w="6859" w:type="dxa"/>
          </w:tcPr>
          <w:p w14:paraId="1AF43664"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En caso de considerar alguna versión alternativa de indicador se sugiere utilizar el Indicador de Transparencia Proactiva de la Métrica de Gobierno Abierto.</w:t>
            </w:r>
          </w:p>
        </w:tc>
      </w:tr>
      <w:tr w:rsidR="00FC2A4F" w:rsidRPr="00BA784D" w14:paraId="364C9DB0" w14:textId="77777777" w:rsidTr="00EC37B3">
        <w:trPr>
          <w:trHeight w:val="397"/>
        </w:trPr>
        <w:tc>
          <w:tcPr>
            <w:tcW w:w="1969" w:type="dxa"/>
            <w:vAlign w:val="center"/>
          </w:tcPr>
          <w:p w14:paraId="387C8B80" w14:textId="510CB5EF" w:rsidR="00FC2A4F" w:rsidRPr="00BA784D" w:rsidRDefault="00FC2A4F" w:rsidP="00FC2A4F">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comportamiento esperado</w:t>
            </w:r>
          </w:p>
        </w:tc>
        <w:tc>
          <w:tcPr>
            <w:tcW w:w="6859" w:type="dxa"/>
            <w:vAlign w:val="center"/>
          </w:tcPr>
          <w:p w14:paraId="1D0079C8" w14:textId="69C54E75" w:rsidR="00640466" w:rsidRPr="00BA784D" w:rsidRDefault="0089608F" w:rsidP="00FC2A4F">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Ascendente</w:t>
            </w:r>
          </w:p>
        </w:tc>
      </w:tr>
    </w:tbl>
    <w:p w14:paraId="46B063DC" w14:textId="00A0D14E" w:rsidR="00640466" w:rsidRPr="00BA784D" w:rsidRDefault="00640466"/>
    <w:p w14:paraId="66B966EF" w14:textId="79EBB022" w:rsidR="00110E78" w:rsidRPr="00BA784D" w:rsidRDefault="00110E78">
      <w:r w:rsidRPr="00BA784D">
        <w:br w:type="page"/>
      </w:r>
    </w:p>
    <w:tbl>
      <w:tblPr>
        <w:tblStyle w:val="7"/>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E35B30" w:rsidRPr="00BA784D" w14:paraId="589514A9" w14:textId="77777777">
        <w:trPr>
          <w:trHeight w:val="410"/>
        </w:trPr>
        <w:tc>
          <w:tcPr>
            <w:tcW w:w="8828" w:type="dxa"/>
            <w:gridSpan w:val="2"/>
          </w:tcPr>
          <w:p w14:paraId="2D0CA14F" w14:textId="5F9EB9F7" w:rsidR="00E35B30" w:rsidRPr="00BA784D" w:rsidRDefault="0036612A">
            <w:pPr>
              <w:pStyle w:val="Ttulo4"/>
              <w:spacing w:line="360" w:lineRule="auto"/>
              <w:ind w:firstLine="100"/>
              <w:jc w:val="both"/>
              <w:rPr>
                <w:rFonts w:ascii="Times New Roman" w:eastAsia="Times New Roman" w:hAnsi="Times New Roman" w:cs="Times New Roman"/>
              </w:rPr>
            </w:pPr>
            <w:r w:rsidRPr="00BA784D">
              <w:lastRenderedPageBreak/>
              <w:br w:type="page"/>
            </w:r>
            <w:bookmarkStart w:id="59" w:name="_Toc102051251"/>
            <w:r w:rsidRPr="00BA784D">
              <w:rPr>
                <w:rFonts w:ascii="Times New Roman" w:eastAsia="Times New Roman" w:hAnsi="Times New Roman" w:cs="Times New Roman"/>
              </w:rPr>
              <w:t>FICHA INDICADOR 3.4. Porcentaje de avance en el indicador de Transparencia Activa de la Métrica de Gobierno Abierto</w:t>
            </w:r>
            <w:bookmarkEnd w:id="59"/>
          </w:p>
        </w:tc>
      </w:tr>
      <w:tr w:rsidR="00E35B30" w:rsidRPr="00BA784D" w14:paraId="5670EBFA" w14:textId="77777777">
        <w:trPr>
          <w:trHeight w:val="397"/>
        </w:trPr>
        <w:tc>
          <w:tcPr>
            <w:tcW w:w="1969" w:type="dxa"/>
            <w:shd w:val="clear" w:color="auto" w:fill="767171"/>
            <w:vAlign w:val="center"/>
          </w:tcPr>
          <w:p w14:paraId="6A4683BD" w14:textId="77777777" w:rsidR="00E35B30" w:rsidRPr="00BA784D" w:rsidRDefault="0036612A">
            <w:pPr>
              <w:spacing w:line="360" w:lineRule="auto"/>
              <w:jc w:val="center"/>
              <w:rPr>
                <w:rFonts w:ascii="Times New Roman" w:eastAsia="Times New Roman" w:hAnsi="Times New Roman" w:cs="Times New Roman"/>
                <w:color w:val="FFFFFF"/>
                <w:sz w:val="24"/>
                <w:szCs w:val="24"/>
              </w:rPr>
            </w:pPr>
            <w:r w:rsidRPr="00BA784D">
              <w:rPr>
                <w:rFonts w:ascii="Times New Roman" w:eastAsia="Times New Roman" w:hAnsi="Times New Roman" w:cs="Times New Roman"/>
                <w:color w:val="FFFFFF"/>
                <w:sz w:val="24"/>
                <w:szCs w:val="24"/>
              </w:rPr>
              <w:t>ELEMENTO</w:t>
            </w:r>
          </w:p>
        </w:tc>
        <w:tc>
          <w:tcPr>
            <w:tcW w:w="6859" w:type="dxa"/>
            <w:shd w:val="clear" w:color="auto" w:fill="767171"/>
            <w:vAlign w:val="center"/>
          </w:tcPr>
          <w:p w14:paraId="2E38DC87" w14:textId="77777777" w:rsidR="00E35B30" w:rsidRPr="00BA784D" w:rsidRDefault="0036612A">
            <w:pPr>
              <w:spacing w:line="360" w:lineRule="auto"/>
              <w:jc w:val="center"/>
              <w:rPr>
                <w:rFonts w:ascii="Times New Roman" w:eastAsia="Times New Roman" w:hAnsi="Times New Roman" w:cs="Times New Roman"/>
                <w:color w:val="FFFFFF"/>
                <w:sz w:val="24"/>
                <w:szCs w:val="24"/>
              </w:rPr>
            </w:pPr>
            <w:r w:rsidRPr="00BA784D">
              <w:rPr>
                <w:rFonts w:ascii="Times New Roman" w:eastAsia="Times New Roman" w:hAnsi="Times New Roman" w:cs="Times New Roman"/>
                <w:b/>
                <w:color w:val="FFFFFF"/>
                <w:sz w:val="24"/>
                <w:szCs w:val="24"/>
              </w:rPr>
              <w:t>CARACTERÍSTICA</w:t>
            </w:r>
          </w:p>
        </w:tc>
      </w:tr>
      <w:tr w:rsidR="00E35B30" w:rsidRPr="00BA784D" w14:paraId="092D6772" w14:textId="77777777">
        <w:trPr>
          <w:trHeight w:val="397"/>
        </w:trPr>
        <w:tc>
          <w:tcPr>
            <w:tcW w:w="1969" w:type="dxa"/>
          </w:tcPr>
          <w:p w14:paraId="4519B3DB" w14:textId="77777777" w:rsidR="00E35B30" w:rsidRPr="00BA784D" w:rsidRDefault="0036612A">
            <w:pPr>
              <w:spacing w:line="360" w:lineRule="auto"/>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Eje</w:t>
            </w:r>
          </w:p>
        </w:tc>
        <w:tc>
          <w:tcPr>
            <w:tcW w:w="6859" w:type="dxa"/>
            <w:vAlign w:val="center"/>
          </w:tcPr>
          <w:p w14:paraId="0615B0D4"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 Políticas de Transparencia: Estado Abierto, Gobierno Digital, Transparencia Proactiva, SIPOT y Datos Abiertos</w:t>
            </w:r>
          </w:p>
        </w:tc>
      </w:tr>
      <w:tr w:rsidR="00E35B30" w:rsidRPr="00BA784D" w14:paraId="57605339" w14:textId="77777777">
        <w:trPr>
          <w:trHeight w:val="397"/>
        </w:trPr>
        <w:tc>
          <w:tcPr>
            <w:tcW w:w="1969" w:type="dxa"/>
          </w:tcPr>
          <w:p w14:paraId="2DE63D42"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Objetivo</w:t>
            </w:r>
          </w:p>
        </w:tc>
        <w:tc>
          <w:tcPr>
            <w:tcW w:w="6859" w:type="dxa"/>
          </w:tcPr>
          <w:p w14:paraId="74C8D355"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3.4 Fortalecer al SIPOT de la Plataforma Nacional de Transparencia como herramienta de transparencia para las instituciones públicas.</w:t>
            </w:r>
          </w:p>
        </w:tc>
      </w:tr>
      <w:tr w:rsidR="00E35B30" w:rsidRPr="00BA784D" w14:paraId="4908EE2B" w14:textId="77777777">
        <w:trPr>
          <w:trHeight w:val="397"/>
        </w:trPr>
        <w:tc>
          <w:tcPr>
            <w:tcW w:w="1969" w:type="dxa"/>
          </w:tcPr>
          <w:p w14:paraId="2565888D"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Descripción general</w:t>
            </w:r>
          </w:p>
        </w:tc>
        <w:tc>
          <w:tcPr>
            <w:tcW w:w="6859" w:type="dxa"/>
          </w:tcPr>
          <w:p w14:paraId="433450B4" w14:textId="6337F6B9" w:rsidR="00E35B30" w:rsidRPr="00BA784D" w:rsidRDefault="00EF1A3F">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BA784D">
              <w:rPr>
                <w:rFonts w:ascii="Times New Roman" w:eastAsia="Times New Roman" w:hAnsi="Times New Roman" w:cs="Times New Roman"/>
                <w:sz w:val="24"/>
                <w:szCs w:val="24"/>
              </w:rPr>
              <w:t>Revisión de la publicación de información de obligaciones comunes de transparencia en el Sistema de Portales de Obligaciones de Transparencia (SIPOT). Se consideran las primeras 13 obligaciones de acuerdo con el artículo 70 de la LGTAIP</w:t>
            </w:r>
            <w:r w:rsidR="0036612A" w:rsidRPr="00BA784D">
              <w:rPr>
                <w:rFonts w:ascii="Times New Roman" w:eastAsia="Times New Roman" w:hAnsi="Times New Roman" w:cs="Times New Roman"/>
                <w:color w:val="000000"/>
                <w:sz w:val="24"/>
                <w:szCs w:val="24"/>
              </w:rPr>
              <w:t>.</w:t>
            </w:r>
          </w:p>
        </w:tc>
      </w:tr>
      <w:tr w:rsidR="00E35B30" w:rsidRPr="00BA784D" w14:paraId="14B9F5C8" w14:textId="77777777">
        <w:trPr>
          <w:trHeight w:val="397"/>
        </w:trPr>
        <w:tc>
          <w:tcPr>
            <w:tcW w:w="1969" w:type="dxa"/>
          </w:tcPr>
          <w:p w14:paraId="76A5CD39"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Método de cálculo</w:t>
            </w:r>
          </w:p>
        </w:tc>
        <w:tc>
          <w:tcPr>
            <w:tcW w:w="6859" w:type="dxa"/>
          </w:tcPr>
          <w:p w14:paraId="2406816F" w14:textId="77777777" w:rsidR="00E35B30" w:rsidRPr="00BA784D" w:rsidRDefault="0036612A">
            <w:pPr>
              <w:spacing w:line="360" w:lineRule="auto"/>
              <w:jc w:val="center"/>
              <w:rPr>
                <w:rFonts w:ascii="Times New Roman" w:eastAsia="Times New Roman" w:hAnsi="Times New Roman" w:cs="Times New Roman"/>
                <w:i/>
                <w:sz w:val="24"/>
                <w:szCs w:val="24"/>
              </w:rPr>
            </w:pPr>
            <w:r w:rsidRPr="00BA784D">
              <w:rPr>
                <w:rFonts w:ascii="Times New Roman" w:eastAsia="Times New Roman" w:hAnsi="Times New Roman" w:cs="Times New Roman"/>
                <w:i/>
                <w:noProof/>
                <w:sz w:val="24"/>
                <w:szCs w:val="24"/>
              </w:rPr>
              <w:drawing>
                <wp:inline distT="114300" distB="114300" distL="114300" distR="114300" wp14:anchorId="166150DC" wp14:editId="2E67B3FB">
                  <wp:extent cx="1323975" cy="504825"/>
                  <wp:effectExtent l="0" t="0" r="0" b="0"/>
                  <wp:docPr id="10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1323975" cy="504825"/>
                          </a:xfrm>
                          <a:prstGeom prst="rect">
                            <a:avLst/>
                          </a:prstGeom>
                          <a:ln/>
                        </pic:spPr>
                      </pic:pic>
                    </a:graphicData>
                  </a:graphic>
                </wp:inline>
              </w:drawing>
            </w:r>
          </w:p>
          <w:p w14:paraId="272838DC"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Donde:</w:t>
            </w:r>
          </w:p>
          <w:p w14:paraId="4D1A0FC3"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7F5FAE98" w14:textId="715AC3D9" w:rsidR="00E35B30" w:rsidRPr="00BA784D" w:rsidRDefault="0036612A" w:rsidP="00BA784D">
            <w:pPr>
              <w:spacing w:line="360" w:lineRule="auto"/>
              <w:jc w:val="both"/>
              <w:rPr>
                <w:rFonts w:ascii="Times New Roman" w:eastAsia="Times New Roman" w:hAnsi="Times New Roman" w:cs="Times New Roman"/>
                <w:sz w:val="24"/>
                <w:szCs w:val="24"/>
              </w:rPr>
            </w:pPr>
            <w:proofErr w:type="spellStart"/>
            <w:r w:rsidRPr="00BA784D">
              <w:rPr>
                <w:rFonts w:ascii="Times New Roman" w:eastAsia="Times New Roman" w:hAnsi="Times New Roman" w:cs="Times New Roman"/>
                <w:i/>
                <w:sz w:val="24"/>
                <w:szCs w:val="24"/>
              </w:rPr>
              <w:t>TA</w:t>
            </w:r>
            <w:r w:rsidRPr="00BA784D">
              <w:rPr>
                <w:rFonts w:ascii="Times New Roman" w:eastAsia="Times New Roman" w:hAnsi="Times New Roman" w:cs="Times New Roman"/>
                <w:i/>
                <w:sz w:val="24"/>
                <w:szCs w:val="24"/>
                <w:vertAlign w:val="subscript"/>
              </w:rPr>
              <w:t>t</w:t>
            </w:r>
            <w:proofErr w:type="spellEnd"/>
            <w:r w:rsidRPr="00BA784D">
              <w:rPr>
                <w:rFonts w:ascii="Times New Roman" w:eastAsia="Times New Roman" w:hAnsi="Times New Roman" w:cs="Times New Roman"/>
                <w:sz w:val="24"/>
                <w:szCs w:val="24"/>
              </w:rPr>
              <w:t xml:space="preserve">, es el Componente de Transparencia Activa de la Métrica de Gobierno Abierto obtenido en el </w:t>
            </w:r>
            <w:proofErr w:type="spellStart"/>
            <w:r w:rsidRPr="00BA784D">
              <w:rPr>
                <w:rFonts w:ascii="Times New Roman" w:eastAsia="Times New Roman" w:hAnsi="Times New Roman" w:cs="Times New Roman"/>
                <w:sz w:val="24"/>
                <w:szCs w:val="24"/>
              </w:rPr>
              <w:t>año</w:t>
            </w:r>
            <w:proofErr w:type="spellEnd"/>
            <w:r w:rsidRPr="00BA784D">
              <w:rPr>
                <w:rFonts w:ascii="Times New Roman" w:eastAsia="Times New Roman" w:hAnsi="Times New Roman" w:cs="Times New Roman"/>
                <w:sz w:val="24"/>
                <w:szCs w:val="24"/>
              </w:rPr>
              <w:t xml:space="preserve"> t de la </w:t>
            </w:r>
            <w:proofErr w:type="spellStart"/>
            <w:r w:rsidRPr="00BA784D">
              <w:rPr>
                <w:rFonts w:ascii="Times New Roman" w:eastAsia="Times New Roman" w:hAnsi="Times New Roman" w:cs="Times New Roman"/>
                <w:sz w:val="24"/>
                <w:szCs w:val="24"/>
              </w:rPr>
              <w:t>Métrica</w:t>
            </w:r>
            <w:proofErr w:type="spellEnd"/>
            <w:r w:rsidRPr="00BA784D">
              <w:rPr>
                <w:rFonts w:ascii="Times New Roman" w:eastAsia="Times New Roman" w:hAnsi="Times New Roman" w:cs="Times New Roman"/>
                <w:sz w:val="24"/>
                <w:szCs w:val="24"/>
              </w:rPr>
              <w:t xml:space="preserve"> del Gobierno Abierto.</w:t>
            </w:r>
          </w:p>
        </w:tc>
      </w:tr>
      <w:tr w:rsidR="00E35B30" w:rsidRPr="00BA784D" w14:paraId="19AE03EC" w14:textId="77777777">
        <w:trPr>
          <w:trHeight w:val="397"/>
        </w:trPr>
        <w:tc>
          <w:tcPr>
            <w:tcW w:w="1969" w:type="dxa"/>
          </w:tcPr>
          <w:p w14:paraId="3D16B72C"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Periodicidad</w:t>
            </w:r>
          </w:p>
        </w:tc>
        <w:tc>
          <w:tcPr>
            <w:tcW w:w="6859"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B7DF1B2"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Bienal.</w:t>
            </w:r>
          </w:p>
        </w:tc>
      </w:tr>
      <w:tr w:rsidR="00E35B30" w:rsidRPr="00BA784D" w14:paraId="47223AF2" w14:textId="77777777">
        <w:trPr>
          <w:trHeight w:val="397"/>
        </w:trPr>
        <w:tc>
          <w:tcPr>
            <w:tcW w:w="1969" w:type="dxa"/>
          </w:tcPr>
          <w:p w14:paraId="43D9286F"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Medios de verificación</w:t>
            </w:r>
          </w:p>
        </w:tc>
        <w:tc>
          <w:tcPr>
            <w:tcW w:w="6859" w:type="dxa"/>
            <w:tcBorders>
              <w:top w:val="nil"/>
              <w:left w:val="single" w:sz="8" w:space="0" w:color="666666"/>
              <w:bottom w:val="single" w:sz="8" w:space="0" w:color="666666"/>
              <w:right w:val="single" w:sz="8" w:space="0" w:color="666666"/>
            </w:tcBorders>
            <w:tcMar>
              <w:top w:w="100" w:type="dxa"/>
              <w:left w:w="100" w:type="dxa"/>
              <w:bottom w:w="100" w:type="dxa"/>
              <w:right w:w="100" w:type="dxa"/>
            </w:tcMar>
          </w:tcPr>
          <w:p w14:paraId="7CF110E6" w14:textId="77777777" w:rsidR="00E35B30" w:rsidRPr="00BA784D" w:rsidRDefault="0036612A">
            <w:pPr>
              <w:spacing w:line="360" w:lineRule="auto"/>
              <w:rPr>
                <w:rFonts w:ascii="Times New Roman" w:eastAsia="Times New Roman" w:hAnsi="Times New Roman" w:cs="Times New Roman"/>
                <w:sz w:val="24"/>
                <w:szCs w:val="24"/>
              </w:rPr>
            </w:pPr>
            <w:proofErr w:type="spellStart"/>
            <w:r w:rsidRPr="00BA784D">
              <w:rPr>
                <w:rFonts w:ascii="Times New Roman" w:eastAsia="Times New Roman" w:hAnsi="Times New Roman" w:cs="Times New Roman"/>
                <w:sz w:val="24"/>
                <w:szCs w:val="24"/>
              </w:rPr>
              <w:t>Métrica</w:t>
            </w:r>
            <w:proofErr w:type="spellEnd"/>
            <w:r w:rsidRPr="00BA784D">
              <w:rPr>
                <w:rFonts w:ascii="Times New Roman" w:eastAsia="Times New Roman" w:hAnsi="Times New Roman" w:cs="Times New Roman"/>
                <w:sz w:val="24"/>
                <w:szCs w:val="24"/>
              </w:rPr>
              <w:t xml:space="preserve"> de Gobierno Abierto</w:t>
            </w:r>
          </w:p>
        </w:tc>
      </w:tr>
      <w:tr w:rsidR="00E35B30" w:rsidRPr="00BA784D" w14:paraId="0AD49FB8" w14:textId="77777777">
        <w:trPr>
          <w:trHeight w:val="397"/>
        </w:trPr>
        <w:tc>
          <w:tcPr>
            <w:tcW w:w="1969" w:type="dxa"/>
            <w:vAlign w:val="center"/>
          </w:tcPr>
          <w:p w14:paraId="073C2544"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Reactivos utilizados</w:t>
            </w:r>
          </w:p>
        </w:tc>
        <w:tc>
          <w:tcPr>
            <w:tcW w:w="6859" w:type="dxa"/>
            <w:tcBorders>
              <w:top w:val="nil"/>
              <w:left w:val="single" w:sz="8" w:space="0" w:color="666666"/>
              <w:bottom w:val="single" w:sz="8" w:space="0" w:color="666666"/>
              <w:right w:val="single" w:sz="8" w:space="0" w:color="666666"/>
            </w:tcBorders>
            <w:tcMar>
              <w:top w:w="100" w:type="dxa"/>
              <w:left w:w="100" w:type="dxa"/>
              <w:bottom w:w="100" w:type="dxa"/>
              <w:right w:w="100" w:type="dxa"/>
            </w:tcMar>
          </w:tcPr>
          <w:p w14:paraId="296E62E4"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Proporción del cambio entre mediciones de resultados del Componente de Transparencia Activa de la Métrica de Gobierno Abierto.</w:t>
            </w:r>
          </w:p>
        </w:tc>
      </w:tr>
      <w:tr w:rsidR="00E35B30" w:rsidRPr="00BA784D" w14:paraId="21674FC8" w14:textId="77777777">
        <w:trPr>
          <w:trHeight w:val="397"/>
        </w:trPr>
        <w:tc>
          <w:tcPr>
            <w:tcW w:w="1969" w:type="dxa"/>
          </w:tcPr>
          <w:p w14:paraId="1A0015FC" w14:textId="77777777" w:rsidR="00E35B30" w:rsidRPr="00BA784D" w:rsidRDefault="0036612A">
            <w:pP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 xml:space="preserve">Actores vinculados con </w:t>
            </w:r>
            <w:r w:rsidRPr="00BA784D">
              <w:rPr>
                <w:rFonts w:ascii="Times New Roman" w:eastAsia="Times New Roman" w:hAnsi="Times New Roman" w:cs="Times New Roman"/>
                <w:smallCaps/>
                <w:sz w:val="24"/>
                <w:szCs w:val="24"/>
              </w:rPr>
              <w:lastRenderedPageBreak/>
              <w:t>el indicador</w:t>
            </w:r>
          </w:p>
        </w:tc>
        <w:tc>
          <w:tcPr>
            <w:tcW w:w="6859" w:type="dxa"/>
            <w:vAlign w:val="center"/>
          </w:tcPr>
          <w:p w14:paraId="10582A9C"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Organismos Garantes.</w:t>
            </w:r>
          </w:p>
        </w:tc>
      </w:tr>
      <w:tr w:rsidR="00E35B30" w:rsidRPr="00BA784D" w14:paraId="697AF91B" w14:textId="77777777">
        <w:trPr>
          <w:trHeight w:val="397"/>
        </w:trPr>
        <w:tc>
          <w:tcPr>
            <w:tcW w:w="1969" w:type="dxa"/>
          </w:tcPr>
          <w:p w14:paraId="136C6C79" w14:textId="77777777" w:rsidR="00E35B30" w:rsidRPr="00BA784D" w:rsidRDefault="0036612A">
            <w:pP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 xml:space="preserve">Línea base </w:t>
            </w:r>
          </w:p>
        </w:tc>
        <w:tc>
          <w:tcPr>
            <w:tcW w:w="6859" w:type="dxa"/>
            <w:vAlign w:val="center"/>
          </w:tcPr>
          <w:p w14:paraId="3FE9CDC4" w14:textId="77777777" w:rsidR="00FD4F8F" w:rsidRDefault="0036612A" w:rsidP="00640466">
            <w:pP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60.00%</w:t>
            </w:r>
            <w:r w:rsidR="0047693E" w:rsidRPr="00BA784D">
              <w:rPr>
                <w:rFonts w:ascii="Times New Roman" w:eastAsia="Times New Roman" w:hAnsi="Times New Roman" w:cs="Times New Roman"/>
                <w:sz w:val="24"/>
                <w:szCs w:val="24"/>
              </w:rPr>
              <w:t xml:space="preserve"> </w:t>
            </w:r>
            <w:r w:rsidR="00D01115" w:rsidRPr="00BA784D">
              <w:rPr>
                <w:rFonts w:ascii="Times New Roman" w:eastAsia="Times New Roman" w:hAnsi="Times New Roman" w:cs="Times New Roman"/>
                <w:sz w:val="24"/>
                <w:szCs w:val="24"/>
              </w:rPr>
              <w:br/>
            </w:r>
          </w:p>
          <w:p w14:paraId="418A1601" w14:textId="0787BCD6" w:rsidR="00E35B30" w:rsidRPr="00BA784D" w:rsidRDefault="0027114E" w:rsidP="00FD4F8F">
            <w:pPr>
              <w:rPr>
                <w:rFonts w:ascii="Times New Roman" w:eastAsia="Times New Roman" w:hAnsi="Times New Roman" w:cs="Times New Roman"/>
                <w:sz w:val="24"/>
                <w:szCs w:val="24"/>
              </w:rPr>
            </w:pPr>
            <w:hyperlink r:id="rId34" w:history="1">
              <w:r w:rsidR="00640466" w:rsidRPr="00FD4F8F">
                <w:rPr>
                  <w:rStyle w:val="Hipervnculo"/>
                  <w:rFonts w:ascii="Times New Roman" w:eastAsia="Times New Roman" w:hAnsi="Times New Roman" w:cs="Times New Roman"/>
                  <w:sz w:val="24"/>
                  <w:szCs w:val="24"/>
                </w:rPr>
                <w:t>https://micrositios.inai.org.mx/gobiernoabierto/?page_id=5765</w:t>
              </w:r>
            </w:hyperlink>
          </w:p>
        </w:tc>
      </w:tr>
      <w:tr w:rsidR="00E35B30" w:rsidRPr="00BA784D" w14:paraId="10C384D5" w14:textId="77777777">
        <w:trPr>
          <w:trHeight w:val="397"/>
        </w:trPr>
        <w:tc>
          <w:tcPr>
            <w:tcW w:w="1969" w:type="dxa"/>
          </w:tcPr>
          <w:p w14:paraId="2DB36B5C" w14:textId="77777777" w:rsidR="00E35B30" w:rsidRPr="00BA784D" w:rsidRDefault="0036612A">
            <w:pP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2023</w:t>
            </w:r>
          </w:p>
        </w:tc>
        <w:tc>
          <w:tcPr>
            <w:tcW w:w="6859"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572A6723" w14:textId="07ADFE4B"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30%</w:t>
            </w:r>
          </w:p>
        </w:tc>
      </w:tr>
      <w:tr w:rsidR="00E35B30" w:rsidRPr="00BA784D" w14:paraId="36E110D2" w14:textId="77777777">
        <w:trPr>
          <w:trHeight w:val="397"/>
        </w:trPr>
        <w:tc>
          <w:tcPr>
            <w:tcW w:w="1969" w:type="dxa"/>
          </w:tcPr>
          <w:p w14:paraId="37CB8E0F" w14:textId="77777777" w:rsidR="00E35B30" w:rsidRPr="00BA784D" w:rsidRDefault="0036612A">
            <w:pP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 xml:space="preserve">Meta 2025 </w:t>
            </w:r>
          </w:p>
        </w:tc>
        <w:tc>
          <w:tcPr>
            <w:tcW w:w="6859" w:type="dxa"/>
            <w:tcBorders>
              <w:top w:val="nil"/>
              <w:left w:val="single" w:sz="8" w:space="0" w:color="666666"/>
              <w:bottom w:val="single" w:sz="8" w:space="0" w:color="666666"/>
              <w:right w:val="single" w:sz="8" w:space="0" w:color="666666"/>
            </w:tcBorders>
            <w:tcMar>
              <w:top w:w="100" w:type="dxa"/>
              <w:left w:w="100" w:type="dxa"/>
              <w:bottom w:w="100" w:type="dxa"/>
              <w:right w:w="100" w:type="dxa"/>
            </w:tcMar>
          </w:tcPr>
          <w:p w14:paraId="1715B583" w14:textId="3901401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30%</w:t>
            </w:r>
          </w:p>
        </w:tc>
      </w:tr>
      <w:tr w:rsidR="00110E78" w:rsidRPr="00BA784D" w14:paraId="684B0C64" w14:textId="77777777">
        <w:trPr>
          <w:trHeight w:val="397"/>
        </w:trPr>
        <w:tc>
          <w:tcPr>
            <w:tcW w:w="1969" w:type="dxa"/>
          </w:tcPr>
          <w:p w14:paraId="3584B9B4" w14:textId="56DD656A" w:rsidR="00110E78" w:rsidRPr="00BA784D" w:rsidRDefault="00110E78">
            <w:pP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2027</w:t>
            </w:r>
          </w:p>
        </w:tc>
        <w:tc>
          <w:tcPr>
            <w:tcW w:w="6859" w:type="dxa"/>
            <w:tcBorders>
              <w:top w:val="nil"/>
              <w:left w:val="single" w:sz="8" w:space="0" w:color="666666"/>
              <w:bottom w:val="single" w:sz="8" w:space="0" w:color="666666"/>
              <w:right w:val="single" w:sz="8" w:space="0" w:color="666666"/>
            </w:tcBorders>
            <w:tcMar>
              <w:top w:w="100" w:type="dxa"/>
              <w:left w:w="100" w:type="dxa"/>
              <w:bottom w:w="100" w:type="dxa"/>
              <w:right w:w="100" w:type="dxa"/>
            </w:tcMar>
          </w:tcPr>
          <w:p w14:paraId="3FD4F86C" w14:textId="68C4EF15" w:rsidR="00110E78" w:rsidRPr="00BA784D" w:rsidRDefault="00110E78">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25%</w:t>
            </w:r>
          </w:p>
        </w:tc>
      </w:tr>
      <w:tr w:rsidR="00FC2A4F" w:rsidRPr="00BA784D" w14:paraId="56F503D0" w14:textId="77777777" w:rsidTr="00EC37B3">
        <w:trPr>
          <w:trHeight w:val="397"/>
        </w:trPr>
        <w:tc>
          <w:tcPr>
            <w:tcW w:w="1969" w:type="dxa"/>
            <w:vAlign w:val="center"/>
          </w:tcPr>
          <w:p w14:paraId="734F24E6" w14:textId="49B88400" w:rsidR="00FC2A4F" w:rsidRPr="00BA784D" w:rsidRDefault="00FC2A4F" w:rsidP="00FC2A4F">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comportamiento esperado</w:t>
            </w:r>
          </w:p>
        </w:tc>
        <w:tc>
          <w:tcPr>
            <w:tcW w:w="6859" w:type="dxa"/>
            <w:vAlign w:val="center"/>
          </w:tcPr>
          <w:p w14:paraId="3E4778E0" w14:textId="7500F072" w:rsidR="00FC2A4F" w:rsidRPr="00BA784D" w:rsidRDefault="00944A8C" w:rsidP="00FC2A4F">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De</w:t>
            </w:r>
            <w:r w:rsidR="0089608F" w:rsidRPr="00BA784D">
              <w:rPr>
                <w:rFonts w:ascii="Times New Roman" w:eastAsia="Times New Roman" w:hAnsi="Times New Roman" w:cs="Times New Roman"/>
                <w:sz w:val="24"/>
                <w:szCs w:val="24"/>
              </w:rPr>
              <w:t>scendente</w:t>
            </w:r>
          </w:p>
        </w:tc>
      </w:tr>
    </w:tbl>
    <w:p w14:paraId="10A0259F" w14:textId="77777777" w:rsidR="00E35B30" w:rsidRPr="00BA784D" w:rsidRDefault="00E35B30">
      <w:pPr>
        <w:spacing w:line="360" w:lineRule="auto"/>
        <w:rPr>
          <w:rFonts w:ascii="Times New Roman" w:eastAsia="Times New Roman" w:hAnsi="Times New Roman" w:cs="Times New Roman"/>
          <w:sz w:val="24"/>
          <w:szCs w:val="24"/>
        </w:rPr>
      </w:pPr>
    </w:p>
    <w:p w14:paraId="6ACFFD2E" w14:textId="77777777" w:rsidR="00E35B30" w:rsidRPr="00BA784D" w:rsidRDefault="0036612A">
      <w:pPr>
        <w:spacing w:line="360" w:lineRule="auto"/>
        <w:rPr>
          <w:rFonts w:ascii="Times New Roman" w:eastAsia="Times New Roman" w:hAnsi="Times New Roman" w:cs="Times New Roman"/>
          <w:sz w:val="24"/>
          <w:szCs w:val="24"/>
        </w:rPr>
      </w:pPr>
      <w:r w:rsidRPr="00BA784D">
        <w:br w:type="page"/>
      </w:r>
    </w:p>
    <w:tbl>
      <w:tblPr>
        <w:tblStyle w:val="6"/>
        <w:tblW w:w="88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30"/>
        <w:gridCol w:w="6675"/>
      </w:tblGrid>
      <w:tr w:rsidR="00E35B30" w:rsidRPr="00BA784D" w14:paraId="36206A2D" w14:textId="77777777">
        <w:trPr>
          <w:trHeight w:val="845"/>
        </w:trPr>
        <w:tc>
          <w:tcPr>
            <w:tcW w:w="8805" w:type="dxa"/>
            <w:gridSpan w:val="2"/>
            <w:tcBorders>
              <w:top w:val="single" w:sz="4" w:space="0" w:color="000000"/>
              <w:left w:val="single" w:sz="4" w:space="0" w:color="000000"/>
              <w:bottom w:val="single" w:sz="4" w:space="0" w:color="000000"/>
              <w:right w:val="single" w:sz="8" w:space="0" w:color="666666"/>
            </w:tcBorders>
            <w:tcMar>
              <w:top w:w="100" w:type="dxa"/>
              <w:left w:w="100" w:type="dxa"/>
              <w:bottom w:w="100" w:type="dxa"/>
              <w:right w:w="100" w:type="dxa"/>
            </w:tcMar>
          </w:tcPr>
          <w:p w14:paraId="120DCA8E" w14:textId="77777777" w:rsidR="00E35B30" w:rsidRPr="00BA784D" w:rsidRDefault="0036612A">
            <w:pPr>
              <w:pStyle w:val="Ttulo4"/>
              <w:spacing w:before="240" w:after="40" w:line="360" w:lineRule="auto"/>
              <w:ind w:firstLine="200"/>
              <w:jc w:val="both"/>
              <w:rPr>
                <w:rFonts w:ascii="Times New Roman" w:eastAsia="Times New Roman" w:hAnsi="Times New Roman" w:cs="Times New Roman"/>
              </w:rPr>
            </w:pPr>
            <w:bookmarkStart w:id="60" w:name="_Toc102051252"/>
            <w:r w:rsidRPr="00BA784D">
              <w:rPr>
                <w:rFonts w:ascii="Times New Roman" w:eastAsia="Times New Roman" w:hAnsi="Times New Roman" w:cs="Times New Roman"/>
              </w:rPr>
              <w:lastRenderedPageBreak/>
              <w:t>FICHA INDICADOR 3.5. Porcentaje de avance en el indicador de Datos Abiertos de la Métrica de Gobierno Abierto</w:t>
            </w:r>
            <w:bookmarkEnd w:id="60"/>
          </w:p>
        </w:tc>
      </w:tr>
      <w:tr w:rsidR="00E35B30" w:rsidRPr="00BA784D" w14:paraId="62DE6065" w14:textId="77777777">
        <w:trPr>
          <w:trHeight w:val="590"/>
        </w:trPr>
        <w:tc>
          <w:tcPr>
            <w:tcW w:w="2130" w:type="dxa"/>
            <w:tcBorders>
              <w:top w:val="single" w:sz="4" w:space="0" w:color="000000"/>
              <w:left w:val="single" w:sz="8" w:space="0" w:color="666666"/>
              <w:bottom w:val="single" w:sz="8" w:space="0" w:color="666666"/>
              <w:right w:val="single" w:sz="8" w:space="0" w:color="666666"/>
            </w:tcBorders>
            <w:shd w:val="clear" w:color="auto" w:fill="767171"/>
            <w:tcMar>
              <w:top w:w="100" w:type="dxa"/>
              <w:left w:w="100" w:type="dxa"/>
              <w:bottom w:w="100" w:type="dxa"/>
              <w:right w:w="100" w:type="dxa"/>
            </w:tcMar>
          </w:tcPr>
          <w:p w14:paraId="149609DB" w14:textId="77777777" w:rsidR="00E35B30" w:rsidRPr="00BA784D" w:rsidRDefault="0036612A">
            <w:pPr>
              <w:spacing w:line="360" w:lineRule="auto"/>
              <w:jc w:val="center"/>
              <w:rPr>
                <w:rFonts w:ascii="Times New Roman" w:eastAsia="Times New Roman" w:hAnsi="Times New Roman" w:cs="Times New Roman"/>
                <w:color w:val="FFFFFF"/>
                <w:sz w:val="24"/>
                <w:szCs w:val="24"/>
              </w:rPr>
            </w:pPr>
            <w:r w:rsidRPr="00BA784D">
              <w:rPr>
                <w:rFonts w:ascii="Times New Roman" w:eastAsia="Times New Roman" w:hAnsi="Times New Roman" w:cs="Times New Roman"/>
                <w:color w:val="FFFFFF"/>
                <w:sz w:val="24"/>
                <w:szCs w:val="24"/>
              </w:rPr>
              <w:t>ELEMENTO</w:t>
            </w:r>
          </w:p>
        </w:tc>
        <w:tc>
          <w:tcPr>
            <w:tcW w:w="6675" w:type="dxa"/>
            <w:tcBorders>
              <w:top w:val="single" w:sz="4" w:space="0" w:color="000000"/>
              <w:left w:val="nil"/>
              <w:bottom w:val="single" w:sz="8" w:space="0" w:color="666666"/>
              <w:right w:val="single" w:sz="8" w:space="0" w:color="666666"/>
            </w:tcBorders>
            <w:shd w:val="clear" w:color="auto" w:fill="767171"/>
            <w:tcMar>
              <w:top w:w="100" w:type="dxa"/>
              <w:left w:w="100" w:type="dxa"/>
              <w:bottom w:w="100" w:type="dxa"/>
              <w:right w:w="100" w:type="dxa"/>
            </w:tcMar>
          </w:tcPr>
          <w:p w14:paraId="5B04D14D" w14:textId="77777777" w:rsidR="00E35B30" w:rsidRPr="00BA784D" w:rsidRDefault="0036612A">
            <w:pPr>
              <w:spacing w:line="360" w:lineRule="auto"/>
              <w:jc w:val="center"/>
              <w:rPr>
                <w:rFonts w:ascii="Times New Roman" w:eastAsia="Times New Roman" w:hAnsi="Times New Roman" w:cs="Times New Roman"/>
                <w:b/>
                <w:color w:val="FFFFFF"/>
                <w:sz w:val="24"/>
                <w:szCs w:val="24"/>
              </w:rPr>
            </w:pPr>
            <w:r w:rsidRPr="00BA784D">
              <w:rPr>
                <w:rFonts w:ascii="Times New Roman" w:eastAsia="Times New Roman" w:hAnsi="Times New Roman" w:cs="Times New Roman"/>
                <w:b/>
                <w:color w:val="FFFFFF"/>
                <w:sz w:val="24"/>
                <w:szCs w:val="24"/>
              </w:rPr>
              <w:t>CARACTERÍSTICA</w:t>
            </w:r>
          </w:p>
        </w:tc>
      </w:tr>
      <w:tr w:rsidR="00E35B30" w:rsidRPr="00BA784D" w14:paraId="7D1879D6" w14:textId="77777777">
        <w:trPr>
          <w:trHeight w:val="590"/>
        </w:trPr>
        <w:tc>
          <w:tcPr>
            <w:tcW w:w="2130" w:type="dxa"/>
            <w:tcBorders>
              <w:top w:val="nil"/>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tcPr>
          <w:p w14:paraId="0824F257" w14:textId="77777777" w:rsidR="00E35B30" w:rsidRPr="00BA784D" w:rsidRDefault="0036612A">
            <w:pPr>
              <w:pBdr>
                <w:top w:val="nil"/>
                <w:left w:val="nil"/>
                <w:bottom w:val="nil"/>
                <w:right w:val="nil"/>
                <w:between w:val="nil"/>
              </w:pBd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Eje</w:t>
            </w:r>
          </w:p>
        </w:tc>
        <w:tc>
          <w:tcPr>
            <w:tcW w:w="6675" w:type="dxa"/>
            <w:tcBorders>
              <w:top w:val="nil"/>
              <w:left w:val="nil"/>
              <w:bottom w:val="single" w:sz="8" w:space="0" w:color="666666"/>
              <w:right w:val="single" w:sz="8" w:space="0" w:color="666666"/>
            </w:tcBorders>
            <w:shd w:val="clear" w:color="auto" w:fill="auto"/>
            <w:tcMar>
              <w:top w:w="100" w:type="dxa"/>
              <w:left w:w="100" w:type="dxa"/>
              <w:bottom w:w="100" w:type="dxa"/>
              <w:right w:w="100" w:type="dxa"/>
            </w:tcMar>
          </w:tcPr>
          <w:p w14:paraId="0C719973"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 Políticas de Transparencia: Estado Abierto, Gobierno Digital, Transparencia Proactiva, SIPOT y Datos Abiertos</w:t>
            </w:r>
          </w:p>
        </w:tc>
      </w:tr>
      <w:tr w:rsidR="00E35B30" w:rsidRPr="00BA784D" w14:paraId="3220EC8F" w14:textId="77777777">
        <w:trPr>
          <w:trHeight w:val="1025"/>
        </w:trPr>
        <w:tc>
          <w:tcPr>
            <w:tcW w:w="2130" w:type="dxa"/>
            <w:tcBorders>
              <w:top w:val="nil"/>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tcPr>
          <w:p w14:paraId="2F06F543" w14:textId="77777777" w:rsidR="00E35B30" w:rsidRPr="00BA784D" w:rsidRDefault="0036612A">
            <w:pPr>
              <w:pBdr>
                <w:top w:val="nil"/>
                <w:left w:val="nil"/>
                <w:bottom w:val="nil"/>
                <w:right w:val="nil"/>
                <w:between w:val="nil"/>
              </w:pBd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Objetivo</w:t>
            </w:r>
          </w:p>
        </w:tc>
        <w:tc>
          <w:tcPr>
            <w:tcW w:w="6675" w:type="dxa"/>
            <w:tcBorders>
              <w:top w:val="nil"/>
              <w:left w:val="nil"/>
              <w:bottom w:val="single" w:sz="8" w:space="0" w:color="666666"/>
              <w:right w:val="single" w:sz="8" w:space="0" w:color="666666"/>
            </w:tcBorders>
            <w:shd w:val="clear" w:color="auto" w:fill="auto"/>
            <w:tcMar>
              <w:top w:w="100" w:type="dxa"/>
              <w:left w:w="100" w:type="dxa"/>
              <w:bottom w:w="100" w:type="dxa"/>
              <w:right w:w="100" w:type="dxa"/>
            </w:tcMar>
          </w:tcPr>
          <w:p w14:paraId="38FBE22F"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3.5 Promover la instrumentación de políticas, estrategias y acciones nacionales en materia de datos abiertos, dirigidas a optimizar el acceso, uso y aprovechamiento de la información pública en México.</w:t>
            </w:r>
          </w:p>
        </w:tc>
      </w:tr>
      <w:tr w:rsidR="00E35B30" w:rsidRPr="00BA784D" w14:paraId="02CE447F" w14:textId="77777777">
        <w:trPr>
          <w:trHeight w:val="755"/>
        </w:trPr>
        <w:tc>
          <w:tcPr>
            <w:tcW w:w="2130" w:type="dxa"/>
            <w:tcBorders>
              <w:top w:val="nil"/>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tcPr>
          <w:p w14:paraId="341FE85E" w14:textId="77777777" w:rsidR="00E35B30" w:rsidRPr="00BA784D" w:rsidRDefault="0036612A">
            <w:pPr>
              <w:pBdr>
                <w:top w:val="nil"/>
                <w:left w:val="nil"/>
                <w:bottom w:val="nil"/>
                <w:right w:val="nil"/>
                <w:between w:val="nil"/>
              </w:pBd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Descripción general</w:t>
            </w:r>
          </w:p>
        </w:tc>
        <w:tc>
          <w:tcPr>
            <w:tcW w:w="6675" w:type="dxa"/>
            <w:tcBorders>
              <w:top w:val="nil"/>
              <w:left w:val="nil"/>
              <w:bottom w:val="single" w:sz="8" w:space="0" w:color="666666"/>
              <w:right w:val="single" w:sz="8" w:space="0" w:color="666666"/>
            </w:tcBorders>
            <w:shd w:val="clear" w:color="auto" w:fill="auto"/>
            <w:tcMar>
              <w:top w:w="100" w:type="dxa"/>
              <w:left w:w="100" w:type="dxa"/>
              <w:bottom w:w="100" w:type="dxa"/>
              <w:right w:w="100" w:type="dxa"/>
            </w:tcMar>
          </w:tcPr>
          <w:p w14:paraId="47221D63" w14:textId="7E0A8EF3" w:rsidR="00E35B30" w:rsidRPr="00BA784D" w:rsidRDefault="006B377F">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Revisión de la existencia y calidad de los datos publicados por el sujeto obligado</w:t>
            </w:r>
            <w:r w:rsidR="0036612A" w:rsidRPr="00BA784D">
              <w:rPr>
                <w:rFonts w:ascii="Times New Roman" w:eastAsia="Times New Roman" w:hAnsi="Times New Roman" w:cs="Times New Roman"/>
                <w:sz w:val="24"/>
                <w:szCs w:val="24"/>
              </w:rPr>
              <w:t>.</w:t>
            </w:r>
          </w:p>
        </w:tc>
      </w:tr>
      <w:tr w:rsidR="00E35B30" w:rsidRPr="00BA784D" w14:paraId="2A5EE25F" w14:textId="77777777">
        <w:trPr>
          <w:trHeight w:val="2435"/>
        </w:trPr>
        <w:tc>
          <w:tcPr>
            <w:tcW w:w="2130" w:type="dxa"/>
            <w:tcBorders>
              <w:top w:val="nil"/>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tcPr>
          <w:p w14:paraId="3E267455" w14:textId="77777777" w:rsidR="00E35B30" w:rsidRPr="00BA784D" w:rsidRDefault="0036612A">
            <w:pPr>
              <w:pBdr>
                <w:top w:val="nil"/>
                <w:left w:val="nil"/>
                <w:bottom w:val="nil"/>
                <w:right w:val="nil"/>
                <w:between w:val="nil"/>
              </w:pBd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Método de cálculo</w:t>
            </w:r>
          </w:p>
        </w:tc>
        <w:tc>
          <w:tcPr>
            <w:tcW w:w="6675" w:type="dxa"/>
            <w:tcBorders>
              <w:top w:val="nil"/>
              <w:left w:val="nil"/>
              <w:bottom w:val="single" w:sz="8" w:space="0" w:color="666666"/>
              <w:right w:val="single" w:sz="8" w:space="0" w:color="666666"/>
            </w:tcBorders>
            <w:shd w:val="clear" w:color="auto" w:fill="auto"/>
            <w:tcMar>
              <w:top w:w="100" w:type="dxa"/>
              <w:left w:w="100" w:type="dxa"/>
              <w:bottom w:w="100" w:type="dxa"/>
              <w:right w:w="100" w:type="dxa"/>
            </w:tcMar>
          </w:tcPr>
          <w:p w14:paraId="6449C38F"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noProof/>
                <w:sz w:val="24"/>
                <w:szCs w:val="24"/>
              </w:rPr>
              <w:drawing>
                <wp:inline distT="114300" distB="114300" distL="114300" distR="114300" wp14:anchorId="5B707687" wp14:editId="04800ACA">
                  <wp:extent cx="1323975" cy="504825"/>
                  <wp:effectExtent l="0" t="0" r="0" b="0"/>
                  <wp:docPr id="10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1323975" cy="504825"/>
                          </a:xfrm>
                          <a:prstGeom prst="rect">
                            <a:avLst/>
                          </a:prstGeom>
                          <a:ln/>
                        </pic:spPr>
                      </pic:pic>
                    </a:graphicData>
                  </a:graphic>
                </wp:inline>
              </w:drawing>
            </w:r>
          </w:p>
          <w:p w14:paraId="7CE03E41"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p w14:paraId="41C146BD"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Donde:</w:t>
            </w:r>
          </w:p>
          <w:p w14:paraId="2EC395B5" w14:textId="77777777" w:rsidR="00E35B30" w:rsidRPr="00BA784D" w:rsidRDefault="0036612A">
            <w:pPr>
              <w:spacing w:line="360" w:lineRule="auto"/>
              <w:jc w:val="both"/>
              <w:rPr>
                <w:rFonts w:ascii="Times New Roman" w:eastAsia="Times New Roman" w:hAnsi="Times New Roman" w:cs="Times New Roman"/>
                <w:sz w:val="24"/>
                <w:szCs w:val="24"/>
              </w:rPr>
            </w:pPr>
            <w:proofErr w:type="spellStart"/>
            <w:proofErr w:type="gramStart"/>
            <w:r w:rsidRPr="00BA784D">
              <w:rPr>
                <w:rFonts w:ascii="Times New Roman" w:eastAsia="Times New Roman" w:hAnsi="Times New Roman" w:cs="Times New Roman"/>
                <w:i/>
                <w:sz w:val="24"/>
                <w:szCs w:val="24"/>
              </w:rPr>
              <w:t>DA</w:t>
            </w:r>
            <w:r w:rsidRPr="00BA784D">
              <w:rPr>
                <w:rFonts w:ascii="Times New Roman" w:eastAsia="Times New Roman" w:hAnsi="Times New Roman" w:cs="Times New Roman"/>
                <w:i/>
                <w:sz w:val="24"/>
                <w:szCs w:val="24"/>
                <w:vertAlign w:val="subscript"/>
              </w:rPr>
              <w:t>t</w:t>
            </w:r>
            <w:proofErr w:type="spellEnd"/>
            <w:r w:rsidRPr="00BA784D">
              <w:rPr>
                <w:rFonts w:ascii="Times New Roman" w:eastAsia="Times New Roman" w:hAnsi="Times New Roman" w:cs="Times New Roman"/>
                <w:i/>
                <w:sz w:val="24"/>
                <w:szCs w:val="24"/>
                <w:vertAlign w:val="subscript"/>
              </w:rPr>
              <w:t xml:space="preserve"> </w:t>
            </w:r>
            <w:r w:rsidRPr="00BA784D">
              <w:rPr>
                <w:rFonts w:ascii="Times New Roman" w:eastAsia="Times New Roman" w:hAnsi="Times New Roman" w:cs="Times New Roman"/>
                <w:sz w:val="24"/>
                <w:szCs w:val="24"/>
              </w:rPr>
              <w:t>,</w:t>
            </w:r>
            <w:proofErr w:type="gramEnd"/>
            <w:r w:rsidRPr="00BA784D">
              <w:rPr>
                <w:rFonts w:ascii="Times New Roman" w:eastAsia="Times New Roman" w:hAnsi="Times New Roman" w:cs="Times New Roman"/>
                <w:sz w:val="24"/>
                <w:szCs w:val="24"/>
              </w:rPr>
              <w:t xml:space="preserve"> es el Componente de Datos Abiertos de la Métrica de Gobierno Abierto obtenido en el </w:t>
            </w:r>
            <w:proofErr w:type="spellStart"/>
            <w:r w:rsidRPr="00BA784D">
              <w:rPr>
                <w:rFonts w:ascii="Times New Roman" w:eastAsia="Times New Roman" w:hAnsi="Times New Roman" w:cs="Times New Roman"/>
                <w:sz w:val="24"/>
                <w:szCs w:val="24"/>
              </w:rPr>
              <w:t>año</w:t>
            </w:r>
            <w:proofErr w:type="spellEnd"/>
            <w:r w:rsidRPr="00BA784D">
              <w:rPr>
                <w:rFonts w:ascii="Times New Roman" w:eastAsia="Times New Roman" w:hAnsi="Times New Roman" w:cs="Times New Roman"/>
                <w:sz w:val="24"/>
                <w:szCs w:val="24"/>
              </w:rPr>
              <w:t xml:space="preserve"> t de la </w:t>
            </w:r>
            <w:proofErr w:type="spellStart"/>
            <w:r w:rsidRPr="00BA784D">
              <w:rPr>
                <w:rFonts w:ascii="Times New Roman" w:eastAsia="Times New Roman" w:hAnsi="Times New Roman" w:cs="Times New Roman"/>
                <w:sz w:val="24"/>
                <w:szCs w:val="24"/>
              </w:rPr>
              <w:t>Métrica</w:t>
            </w:r>
            <w:proofErr w:type="spellEnd"/>
            <w:r w:rsidRPr="00BA784D">
              <w:rPr>
                <w:rFonts w:ascii="Times New Roman" w:eastAsia="Times New Roman" w:hAnsi="Times New Roman" w:cs="Times New Roman"/>
                <w:sz w:val="24"/>
                <w:szCs w:val="24"/>
              </w:rPr>
              <w:t xml:space="preserve"> del Gobierno Abierto.</w:t>
            </w:r>
          </w:p>
          <w:p w14:paraId="2052FA73"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w:t>
            </w:r>
          </w:p>
        </w:tc>
      </w:tr>
      <w:tr w:rsidR="00E35B30" w:rsidRPr="00BA784D" w14:paraId="3757437E" w14:textId="77777777">
        <w:trPr>
          <w:trHeight w:val="590"/>
        </w:trPr>
        <w:tc>
          <w:tcPr>
            <w:tcW w:w="2130" w:type="dxa"/>
            <w:tcBorders>
              <w:top w:val="nil"/>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tcPr>
          <w:p w14:paraId="151F3320" w14:textId="77777777" w:rsidR="00E35B30" w:rsidRPr="00BA784D" w:rsidRDefault="0036612A">
            <w:pPr>
              <w:pBdr>
                <w:top w:val="nil"/>
                <w:left w:val="nil"/>
                <w:bottom w:val="nil"/>
                <w:right w:val="nil"/>
                <w:between w:val="nil"/>
              </w:pBd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Periodicidad</w:t>
            </w:r>
          </w:p>
        </w:tc>
        <w:tc>
          <w:tcPr>
            <w:tcW w:w="6675" w:type="dxa"/>
            <w:tcBorders>
              <w:top w:val="nil"/>
              <w:left w:val="nil"/>
              <w:bottom w:val="single" w:sz="8" w:space="0" w:color="666666"/>
              <w:right w:val="single" w:sz="8" w:space="0" w:color="666666"/>
            </w:tcBorders>
            <w:shd w:val="clear" w:color="auto" w:fill="auto"/>
            <w:tcMar>
              <w:top w:w="100" w:type="dxa"/>
              <w:left w:w="100" w:type="dxa"/>
              <w:bottom w:w="100" w:type="dxa"/>
              <w:right w:w="100" w:type="dxa"/>
            </w:tcMar>
          </w:tcPr>
          <w:p w14:paraId="68F91994"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Bienal.</w:t>
            </w:r>
          </w:p>
        </w:tc>
      </w:tr>
      <w:tr w:rsidR="00E35B30" w:rsidRPr="00BA784D" w14:paraId="00B17BDE" w14:textId="77777777">
        <w:trPr>
          <w:trHeight w:val="590"/>
        </w:trPr>
        <w:tc>
          <w:tcPr>
            <w:tcW w:w="2130" w:type="dxa"/>
            <w:tcBorders>
              <w:top w:val="nil"/>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tcPr>
          <w:p w14:paraId="29C514DD" w14:textId="77777777" w:rsidR="00E35B30" w:rsidRPr="00BA784D" w:rsidRDefault="0036612A">
            <w:pPr>
              <w:pBdr>
                <w:top w:val="nil"/>
                <w:left w:val="nil"/>
                <w:bottom w:val="nil"/>
                <w:right w:val="nil"/>
                <w:between w:val="nil"/>
              </w:pBd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Medios de verificación</w:t>
            </w:r>
          </w:p>
        </w:tc>
        <w:tc>
          <w:tcPr>
            <w:tcW w:w="6675" w:type="dxa"/>
            <w:tcBorders>
              <w:top w:val="nil"/>
              <w:left w:val="nil"/>
              <w:bottom w:val="single" w:sz="8" w:space="0" w:color="666666"/>
              <w:right w:val="single" w:sz="8" w:space="0" w:color="666666"/>
            </w:tcBorders>
            <w:shd w:val="clear" w:color="auto" w:fill="auto"/>
            <w:tcMar>
              <w:top w:w="100" w:type="dxa"/>
              <w:left w:w="100" w:type="dxa"/>
              <w:bottom w:w="100" w:type="dxa"/>
              <w:right w:w="100" w:type="dxa"/>
            </w:tcMar>
          </w:tcPr>
          <w:p w14:paraId="08BE1ED5" w14:textId="77777777" w:rsidR="00E35B30" w:rsidRPr="00BA784D" w:rsidRDefault="0036612A">
            <w:pPr>
              <w:spacing w:line="360" w:lineRule="auto"/>
              <w:rPr>
                <w:rFonts w:ascii="Times New Roman" w:eastAsia="Times New Roman" w:hAnsi="Times New Roman" w:cs="Times New Roman"/>
                <w:sz w:val="24"/>
                <w:szCs w:val="24"/>
              </w:rPr>
            </w:pPr>
            <w:proofErr w:type="spellStart"/>
            <w:r w:rsidRPr="00BA784D">
              <w:rPr>
                <w:rFonts w:ascii="Times New Roman" w:eastAsia="Times New Roman" w:hAnsi="Times New Roman" w:cs="Times New Roman"/>
                <w:sz w:val="24"/>
                <w:szCs w:val="24"/>
              </w:rPr>
              <w:t>Métrica</w:t>
            </w:r>
            <w:proofErr w:type="spellEnd"/>
            <w:r w:rsidRPr="00BA784D">
              <w:rPr>
                <w:rFonts w:ascii="Times New Roman" w:eastAsia="Times New Roman" w:hAnsi="Times New Roman" w:cs="Times New Roman"/>
                <w:sz w:val="24"/>
                <w:szCs w:val="24"/>
              </w:rPr>
              <w:t xml:space="preserve"> de Gobierno Abierto</w:t>
            </w:r>
          </w:p>
        </w:tc>
      </w:tr>
      <w:tr w:rsidR="00E35B30" w:rsidRPr="00BA784D" w14:paraId="422B5F0C" w14:textId="77777777">
        <w:trPr>
          <w:trHeight w:val="755"/>
        </w:trPr>
        <w:tc>
          <w:tcPr>
            <w:tcW w:w="2130" w:type="dxa"/>
            <w:tcBorders>
              <w:top w:val="nil"/>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tcPr>
          <w:p w14:paraId="33E9A6C0" w14:textId="77777777" w:rsidR="00E35B30" w:rsidRPr="00BA784D" w:rsidRDefault="0036612A">
            <w:pPr>
              <w:pBdr>
                <w:top w:val="nil"/>
                <w:left w:val="nil"/>
                <w:bottom w:val="nil"/>
                <w:right w:val="nil"/>
                <w:between w:val="nil"/>
              </w:pBd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Reactivos utilizados</w:t>
            </w:r>
          </w:p>
        </w:tc>
        <w:tc>
          <w:tcPr>
            <w:tcW w:w="6675" w:type="dxa"/>
            <w:tcBorders>
              <w:top w:val="nil"/>
              <w:left w:val="nil"/>
              <w:bottom w:val="single" w:sz="8" w:space="0" w:color="666666"/>
              <w:right w:val="single" w:sz="8" w:space="0" w:color="666666"/>
            </w:tcBorders>
            <w:shd w:val="clear" w:color="auto" w:fill="auto"/>
            <w:tcMar>
              <w:top w:w="100" w:type="dxa"/>
              <w:left w:w="100" w:type="dxa"/>
              <w:bottom w:w="100" w:type="dxa"/>
              <w:right w:w="100" w:type="dxa"/>
            </w:tcMar>
          </w:tcPr>
          <w:p w14:paraId="25AEE8F2"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Proporción del cambio entre mediciones de resultados del Componente de Datos Abiertos de la Métrica de Gobierno Abierto.</w:t>
            </w:r>
          </w:p>
        </w:tc>
      </w:tr>
      <w:tr w:rsidR="00E35B30" w:rsidRPr="00BA784D" w14:paraId="0B6B6629" w14:textId="77777777">
        <w:trPr>
          <w:trHeight w:val="755"/>
        </w:trPr>
        <w:tc>
          <w:tcPr>
            <w:tcW w:w="2130" w:type="dxa"/>
            <w:tcBorders>
              <w:top w:val="nil"/>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tcPr>
          <w:p w14:paraId="14EA2A5D" w14:textId="77777777" w:rsidR="00E35B30" w:rsidRPr="00BA784D" w:rsidRDefault="0036612A">
            <w:pPr>
              <w:pBdr>
                <w:top w:val="nil"/>
                <w:left w:val="nil"/>
                <w:bottom w:val="nil"/>
                <w:right w:val="nil"/>
                <w:between w:val="nil"/>
              </w:pBd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lastRenderedPageBreak/>
              <w:t>Actores vinculados con el indicador</w:t>
            </w:r>
          </w:p>
        </w:tc>
        <w:tc>
          <w:tcPr>
            <w:tcW w:w="6675" w:type="dxa"/>
            <w:tcBorders>
              <w:top w:val="nil"/>
              <w:left w:val="nil"/>
              <w:bottom w:val="single" w:sz="8" w:space="0" w:color="666666"/>
              <w:right w:val="single" w:sz="8" w:space="0" w:color="666666"/>
            </w:tcBorders>
            <w:shd w:val="clear" w:color="auto" w:fill="auto"/>
            <w:tcMar>
              <w:top w:w="100" w:type="dxa"/>
              <w:left w:w="100" w:type="dxa"/>
              <w:bottom w:w="100" w:type="dxa"/>
              <w:right w:w="100" w:type="dxa"/>
            </w:tcMar>
          </w:tcPr>
          <w:p w14:paraId="7667E93B"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Organismos Garantes.</w:t>
            </w:r>
          </w:p>
        </w:tc>
      </w:tr>
      <w:tr w:rsidR="00E35B30" w:rsidRPr="00BA784D" w14:paraId="77D76FD7" w14:textId="77777777">
        <w:trPr>
          <w:trHeight w:val="590"/>
        </w:trPr>
        <w:tc>
          <w:tcPr>
            <w:tcW w:w="2130" w:type="dxa"/>
            <w:tcBorders>
              <w:top w:val="nil"/>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tcPr>
          <w:p w14:paraId="323AF1C3" w14:textId="77777777" w:rsidR="00E35B30" w:rsidRPr="00BA784D" w:rsidRDefault="0036612A">
            <w:pPr>
              <w:pBdr>
                <w:top w:val="nil"/>
                <w:left w:val="nil"/>
                <w:bottom w:val="nil"/>
                <w:right w:val="nil"/>
                <w:between w:val="nil"/>
              </w:pBd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Línea base</w:t>
            </w:r>
          </w:p>
        </w:tc>
        <w:tc>
          <w:tcPr>
            <w:tcW w:w="6675" w:type="dxa"/>
            <w:tcBorders>
              <w:top w:val="nil"/>
              <w:left w:val="nil"/>
              <w:bottom w:val="single" w:sz="8" w:space="0" w:color="666666"/>
              <w:right w:val="single" w:sz="8" w:space="0" w:color="666666"/>
            </w:tcBorders>
            <w:shd w:val="clear" w:color="auto" w:fill="auto"/>
            <w:tcMar>
              <w:top w:w="100" w:type="dxa"/>
              <w:left w:w="100" w:type="dxa"/>
              <w:bottom w:w="100" w:type="dxa"/>
              <w:right w:w="100" w:type="dxa"/>
            </w:tcMar>
          </w:tcPr>
          <w:p w14:paraId="0459D2FC" w14:textId="77777777" w:rsidR="00FD4F8F" w:rsidRDefault="0036612A" w:rsidP="00640466">
            <w:pP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100%</w:t>
            </w:r>
            <w:r w:rsidR="0047693E" w:rsidRPr="00BA784D">
              <w:rPr>
                <w:rFonts w:ascii="Times New Roman" w:eastAsia="Times New Roman" w:hAnsi="Times New Roman" w:cs="Times New Roman"/>
                <w:sz w:val="24"/>
                <w:szCs w:val="24"/>
              </w:rPr>
              <w:t xml:space="preserve"> </w:t>
            </w:r>
            <w:r w:rsidR="00D01115" w:rsidRPr="00BA784D">
              <w:rPr>
                <w:rFonts w:ascii="Times New Roman" w:eastAsia="Times New Roman" w:hAnsi="Times New Roman" w:cs="Times New Roman"/>
                <w:sz w:val="24"/>
                <w:szCs w:val="24"/>
              </w:rPr>
              <w:br/>
            </w:r>
          </w:p>
          <w:p w14:paraId="1A598887" w14:textId="27722542" w:rsidR="00E35B30" w:rsidRPr="00BA784D" w:rsidRDefault="0027114E" w:rsidP="00FD4F8F">
            <w:pPr>
              <w:rPr>
                <w:rFonts w:ascii="Times New Roman" w:eastAsia="Times New Roman" w:hAnsi="Times New Roman" w:cs="Times New Roman"/>
                <w:sz w:val="24"/>
                <w:szCs w:val="24"/>
              </w:rPr>
            </w:pPr>
            <w:hyperlink r:id="rId36" w:history="1">
              <w:r w:rsidR="00640466" w:rsidRPr="00FD4F8F">
                <w:rPr>
                  <w:rStyle w:val="Hipervnculo"/>
                  <w:rFonts w:ascii="Times New Roman" w:eastAsia="Times New Roman" w:hAnsi="Times New Roman" w:cs="Times New Roman"/>
                  <w:sz w:val="24"/>
                  <w:szCs w:val="24"/>
                </w:rPr>
                <w:t>https://micrositios.inai.org.mx/gobiernoabierto/?page_id=5765</w:t>
              </w:r>
            </w:hyperlink>
          </w:p>
        </w:tc>
      </w:tr>
      <w:tr w:rsidR="00E35B30" w:rsidRPr="00BA784D" w14:paraId="4F5AB8BB" w14:textId="77777777">
        <w:trPr>
          <w:trHeight w:val="590"/>
        </w:trPr>
        <w:tc>
          <w:tcPr>
            <w:tcW w:w="2130" w:type="dxa"/>
            <w:tcBorders>
              <w:top w:val="nil"/>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tcPr>
          <w:p w14:paraId="1EEA9247" w14:textId="77777777" w:rsidR="00E35B30" w:rsidRPr="00BA784D" w:rsidRDefault="0036612A">
            <w:pPr>
              <w:pBdr>
                <w:top w:val="nil"/>
                <w:left w:val="nil"/>
                <w:bottom w:val="nil"/>
                <w:right w:val="nil"/>
                <w:between w:val="nil"/>
              </w:pBd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2023</w:t>
            </w:r>
          </w:p>
        </w:tc>
        <w:tc>
          <w:tcPr>
            <w:tcW w:w="6675" w:type="dxa"/>
            <w:tcBorders>
              <w:top w:val="nil"/>
              <w:left w:val="nil"/>
              <w:bottom w:val="single" w:sz="8" w:space="0" w:color="666666"/>
              <w:right w:val="single" w:sz="8" w:space="0" w:color="666666"/>
            </w:tcBorders>
            <w:shd w:val="clear" w:color="auto" w:fill="auto"/>
            <w:tcMar>
              <w:top w:w="100" w:type="dxa"/>
              <w:left w:w="100" w:type="dxa"/>
              <w:bottom w:w="100" w:type="dxa"/>
              <w:right w:w="100" w:type="dxa"/>
            </w:tcMar>
          </w:tcPr>
          <w:p w14:paraId="27FA7B58"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5%</w:t>
            </w:r>
          </w:p>
        </w:tc>
      </w:tr>
      <w:tr w:rsidR="00110E78" w:rsidRPr="00BA784D" w14:paraId="68EFC570" w14:textId="77777777">
        <w:trPr>
          <w:trHeight w:val="590"/>
        </w:trPr>
        <w:tc>
          <w:tcPr>
            <w:tcW w:w="2130" w:type="dxa"/>
            <w:tcBorders>
              <w:top w:val="nil"/>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tcPr>
          <w:p w14:paraId="074C795F" w14:textId="1B286A05" w:rsidR="00110E78" w:rsidRPr="00BA784D" w:rsidRDefault="00110E78" w:rsidP="00110E78">
            <w:pPr>
              <w:pBdr>
                <w:top w:val="nil"/>
                <w:left w:val="nil"/>
                <w:bottom w:val="nil"/>
                <w:right w:val="nil"/>
                <w:between w:val="nil"/>
              </w:pBd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2025</w:t>
            </w:r>
          </w:p>
        </w:tc>
        <w:tc>
          <w:tcPr>
            <w:tcW w:w="6675" w:type="dxa"/>
            <w:tcBorders>
              <w:top w:val="nil"/>
              <w:left w:val="nil"/>
              <w:bottom w:val="single" w:sz="8" w:space="0" w:color="666666"/>
              <w:right w:val="single" w:sz="8" w:space="0" w:color="666666"/>
            </w:tcBorders>
            <w:shd w:val="clear" w:color="auto" w:fill="auto"/>
            <w:tcMar>
              <w:top w:w="100" w:type="dxa"/>
              <w:left w:w="100" w:type="dxa"/>
              <w:bottom w:w="100" w:type="dxa"/>
              <w:right w:w="100" w:type="dxa"/>
            </w:tcMar>
          </w:tcPr>
          <w:p w14:paraId="1BD8D854" w14:textId="7877FB82" w:rsidR="00110E78" w:rsidRPr="00BA784D" w:rsidRDefault="00110E78" w:rsidP="00110E78">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5%</w:t>
            </w:r>
          </w:p>
        </w:tc>
      </w:tr>
      <w:tr w:rsidR="00110E78" w:rsidRPr="00BA784D" w14:paraId="205B694C" w14:textId="77777777">
        <w:trPr>
          <w:trHeight w:val="590"/>
        </w:trPr>
        <w:tc>
          <w:tcPr>
            <w:tcW w:w="2130" w:type="dxa"/>
            <w:tcBorders>
              <w:top w:val="nil"/>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tcPr>
          <w:p w14:paraId="18953B93" w14:textId="0774C516" w:rsidR="00110E78" w:rsidRPr="00BA784D" w:rsidRDefault="00110E78" w:rsidP="00110E78">
            <w:pPr>
              <w:pBdr>
                <w:top w:val="nil"/>
                <w:left w:val="nil"/>
                <w:bottom w:val="nil"/>
                <w:right w:val="nil"/>
                <w:between w:val="nil"/>
              </w:pBd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2027</w:t>
            </w:r>
          </w:p>
        </w:tc>
        <w:tc>
          <w:tcPr>
            <w:tcW w:w="6675" w:type="dxa"/>
            <w:tcBorders>
              <w:top w:val="nil"/>
              <w:left w:val="nil"/>
              <w:bottom w:val="single" w:sz="8" w:space="0" w:color="666666"/>
              <w:right w:val="single" w:sz="8" w:space="0" w:color="666666"/>
            </w:tcBorders>
            <w:shd w:val="clear" w:color="auto" w:fill="auto"/>
            <w:tcMar>
              <w:top w:w="100" w:type="dxa"/>
              <w:left w:w="100" w:type="dxa"/>
              <w:bottom w:w="100" w:type="dxa"/>
              <w:right w:w="100" w:type="dxa"/>
            </w:tcMar>
          </w:tcPr>
          <w:p w14:paraId="301B3F62" w14:textId="5B219AAE" w:rsidR="00110E78" w:rsidRPr="00BA784D" w:rsidRDefault="00110E78" w:rsidP="00110E78">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5%</w:t>
            </w:r>
          </w:p>
        </w:tc>
      </w:tr>
      <w:tr w:rsidR="00110E78" w:rsidRPr="00BA784D" w14:paraId="426FE820" w14:textId="77777777" w:rsidTr="00EC37B3">
        <w:trPr>
          <w:trHeight w:val="590"/>
        </w:trPr>
        <w:tc>
          <w:tcPr>
            <w:tcW w:w="2130" w:type="dxa"/>
            <w:tcBorders>
              <w:top w:val="nil"/>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vAlign w:val="center"/>
          </w:tcPr>
          <w:p w14:paraId="70B91652" w14:textId="195DC170" w:rsidR="00110E78" w:rsidRPr="00BA784D" w:rsidRDefault="00110E78" w:rsidP="00110E78">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 xml:space="preserve"> comportamiento esperado</w:t>
            </w:r>
          </w:p>
        </w:tc>
        <w:tc>
          <w:tcPr>
            <w:tcW w:w="6675" w:type="dxa"/>
            <w:tcBorders>
              <w:top w:val="nil"/>
              <w:left w:val="nil"/>
              <w:bottom w:val="single" w:sz="8" w:space="0" w:color="666666"/>
              <w:right w:val="single" w:sz="8" w:space="0" w:color="666666"/>
            </w:tcBorders>
            <w:shd w:val="clear" w:color="auto" w:fill="auto"/>
            <w:tcMar>
              <w:top w:w="100" w:type="dxa"/>
              <w:left w:w="100" w:type="dxa"/>
              <w:bottom w:w="100" w:type="dxa"/>
              <w:right w:w="100" w:type="dxa"/>
            </w:tcMar>
            <w:vAlign w:val="center"/>
          </w:tcPr>
          <w:p w14:paraId="079A3856" w14:textId="761B0652" w:rsidR="00110E78" w:rsidRPr="00BA784D" w:rsidRDefault="00110E78" w:rsidP="00110E78">
            <w:pPr>
              <w:widowControl/>
              <w:spacing w:line="360" w:lineRule="auto"/>
              <w:jc w:val="both"/>
              <w:rPr>
                <w:rFonts w:ascii="Times New Roman" w:eastAsia="Times New Roman" w:hAnsi="Times New Roman" w:cs="Times New Roman"/>
                <w:b/>
                <w:sz w:val="24"/>
                <w:szCs w:val="24"/>
              </w:rPr>
            </w:pPr>
            <w:r w:rsidRPr="00BA784D">
              <w:rPr>
                <w:rFonts w:ascii="Times New Roman" w:eastAsia="Times New Roman" w:hAnsi="Times New Roman" w:cs="Times New Roman"/>
                <w:sz w:val="24"/>
                <w:szCs w:val="24"/>
              </w:rPr>
              <w:t>Descendente</w:t>
            </w:r>
          </w:p>
        </w:tc>
      </w:tr>
    </w:tbl>
    <w:p w14:paraId="4C7FA153" w14:textId="77777777" w:rsidR="00E35B30" w:rsidRPr="00BA784D" w:rsidRDefault="0036612A">
      <w:pPr>
        <w:spacing w:line="360" w:lineRule="auto"/>
        <w:rPr>
          <w:rFonts w:ascii="Times New Roman" w:eastAsia="Times New Roman" w:hAnsi="Times New Roman" w:cs="Times New Roman"/>
          <w:sz w:val="24"/>
          <w:szCs w:val="24"/>
        </w:rPr>
      </w:pPr>
      <w:r w:rsidRPr="00BA784D">
        <w:br w:type="page"/>
      </w:r>
    </w:p>
    <w:tbl>
      <w:tblPr>
        <w:tblStyle w:val="5"/>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8"/>
        <w:gridCol w:w="6860"/>
      </w:tblGrid>
      <w:tr w:rsidR="00E35B30" w:rsidRPr="00BA784D" w14:paraId="1E4D844F" w14:textId="77777777">
        <w:trPr>
          <w:trHeight w:val="410"/>
        </w:trPr>
        <w:tc>
          <w:tcPr>
            <w:tcW w:w="8828" w:type="dxa"/>
            <w:gridSpan w:val="2"/>
            <w:vAlign w:val="center"/>
          </w:tcPr>
          <w:p w14:paraId="575CCDBC" w14:textId="77777777" w:rsidR="00E35B30" w:rsidRPr="00BA784D" w:rsidRDefault="0036612A">
            <w:pPr>
              <w:pStyle w:val="Ttulo4"/>
              <w:spacing w:line="360" w:lineRule="auto"/>
              <w:ind w:firstLine="100"/>
              <w:jc w:val="both"/>
              <w:rPr>
                <w:rFonts w:ascii="Times New Roman" w:eastAsia="Times New Roman" w:hAnsi="Times New Roman" w:cs="Times New Roman"/>
              </w:rPr>
            </w:pPr>
            <w:bookmarkStart w:id="61" w:name="_Toc102051253"/>
            <w:r w:rsidRPr="00BA784D">
              <w:rPr>
                <w:rFonts w:ascii="Times New Roman" w:eastAsia="Times New Roman" w:hAnsi="Times New Roman" w:cs="Times New Roman"/>
              </w:rPr>
              <w:lastRenderedPageBreak/>
              <w:t>FICHA INDICADOR 4.1 Índice de fortalecimiento anticorrupción institucional en los Organismos Garantes.</w:t>
            </w:r>
            <w:bookmarkEnd w:id="61"/>
          </w:p>
        </w:tc>
      </w:tr>
      <w:tr w:rsidR="00E35B30" w:rsidRPr="00BA784D" w14:paraId="4A6EAD46" w14:textId="77777777">
        <w:trPr>
          <w:trHeight w:val="397"/>
        </w:trPr>
        <w:tc>
          <w:tcPr>
            <w:tcW w:w="1968" w:type="dxa"/>
            <w:shd w:val="clear" w:color="auto" w:fill="767171"/>
            <w:vAlign w:val="center"/>
          </w:tcPr>
          <w:p w14:paraId="1ED98A77" w14:textId="77777777" w:rsidR="00E35B30" w:rsidRPr="00BA784D" w:rsidRDefault="0036612A">
            <w:pPr>
              <w:spacing w:line="360" w:lineRule="auto"/>
              <w:jc w:val="center"/>
              <w:rPr>
                <w:rFonts w:ascii="Times New Roman" w:eastAsia="Times New Roman" w:hAnsi="Times New Roman" w:cs="Times New Roman"/>
                <w:color w:val="FFFFFF"/>
                <w:sz w:val="24"/>
                <w:szCs w:val="24"/>
              </w:rPr>
            </w:pPr>
            <w:r w:rsidRPr="00BA784D">
              <w:rPr>
                <w:rFonts w:ascii="Times New Roman" w:eastAsia="Times New Roman" w:hAnsi="Times New Roman" w:cs="Times New Roman"/>
                <w:color w:val="FFFFFF"/>
                <w:sz w:val="24"/>
                <w:szCs w:val="24"/>
              </w:rPr>
              <w:t>ELEMENTO</w:t>
            </w:r>
          </w:p>
        </w:tc>
        <w:tc>
          <w:tcPr>
            <w:tcW w:w="6860" w:type="dxa"/>
            <w:shd w:val="clear" w:color="auto" w:fill="767171"/>
            <w:vAlign w:val="center"/>
          </w:tcPr>
          <w:p w14:paraId="1AA1C0D0" w14:textId="77777777" w:rsidR="00E35B30" w:rsidRPr="00BA784D" w:rsidRDefault="0036612A">
            <w:pPr>
              <w:spacing w:line="360" w:lineRule="auto"/>
              <w:jc w:val="center"/>
              <w:rPr>
                <w:rFonts w:ascii="Times New Roman" w:eastAsia="Times New Roman" w:hAnsi="Times New Roman" w:cs="Times New Roman"/>
                <w:color w:val="FFFFFF"/>
                <w:sz w:val="24"/>
                <w:szCs w:val="24"/>
              </w:rPr>
            </w:pPr>
            <w:r w:rsidRPr="00BA784D">
              <w:rPr>
                <w:rFonts w:ascii="Times New Roman" w:eastAsia="Times New Roman" w:hAnsi="Times New Roman" w:cs="Times New Roman"/>
                <w:b/>
                <w:color w:val="FFFFFF"/>
                <w:sz w:val="24"/>
                <w:szCs w:val="24"/>
              </w:rPr>
              <w:t>CARACTERÍSTICA</w:t>
            </w:r>
          </w:p>
        </w:tc>
      </w:tr>
      <w:tr w:rsidR="00E35B30" w:rsidRPr="00BA784D" w14:paraId="3677AD52" w14:textId="77777777">
        <w:trPr>
          <w:trHeight w:val="397"/>
        </w:trPr>
        <w:tc>
          <w:tcPr>
            <w:tcW w:w="1968" w:type="dxa"/>
            <w:vAlign w:val="center"/>
          </w:tcPr>
          <w:p w14:paraId="12FA3BBC" w14:textId="77777777" w:rsidR="00E35B30" w:rsidRPr="00BA784D" w:rsidRDefault="0036612A">
            <w:pPr>
              <w:spacing w:line="360" w:lineRule="auto"/>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Eje</w:t>
            </w:r>
          </w:p>
        </w:tc>
        <w:tc>
          <w:tcPr>
            <w:tcW w:w="6860" w:type="dxa"/>
            <w:vAlign w:val="center"/>
          </w:tcPr>
          <w:p w14:paraId="24D264F4"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4. Rendición de Cuentas</w:t>
            </w:r>
          </w:p>
        </w:tc>
      </w:tr>
      <w:tr w:rsidR="00E35B30" w:rsidRPr="00BA784D" w14:paraId="43714D92" w14:textId="77777777">
        <w:trPr>
          <w:trHeight w:val="397"/>
        </w:trPr>
        <w:tc>
          <w:tcPr>
            <w:tcW w:w="1968" w:type="dxa"/>
          </w:tcPr>
          <w:p w14:paraId="284103F9"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Objetivo</w:t>
            </w:r>
          </w:p>
        </w:tc>
        <w:tc>
          <w:tcPr>
            <w:tcW w:w="6860" w:type="dxa"/>
          </w:tcPr>
          <w:p w14:paraId="6142317C" w14:textId="0898F96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4.1 Fortalecer la Transparencia y el Acceso a la Información Pública como medios para la fiscalización, rendición de cuentas y denuncia de actos de corrupción en la sociedad</w:t>
            </w:r>
            <w:r w:rsidR="006B377F" w:rsidRPr="00BA784D">
              <w:rPr>
                <w:rFonts w:ascii="Times New Roman" w:eastAsia="Times New Roman" w:hAnsi="Times New Roman" w:cs="Times New Roman"/>
                <w:sz w:val="24"/>
                <w:szCs w:val="24"/>
              </w:rPr>
              <w:t xml:space="preserve"> en coordinación con el Sistema Nacional Anticorrupción y el Sistema Nacional de Fiscalización</w:t>
            </w:r>
            <w:r w:rsidRPr="00BA784D">
              <w:rPr>
                <w:rFonts w:ascii="Times New Roman" w:eastAsia="Times New Roman" w:hAnsi="Times New Roman" w:cs="Times New Roman"/>
                <w:sz w:val="24"/>
                <w:szCs w:val="24"/>
              </w:rPr>
              <w:t>.</w:t>
            </w:r>
          </w:p>
        </w:tc>
      </w:tr>
      <w:tr w:rsidR="00E35B30" w:rsidRPr="00BA784D" w14:paraId="289FAEF7" w14:textId="77777777">
        <w:trPr>
          <w:trHeight w:val="397"/>
        </w:trPr>
        <w:tc>
          <w:tcPr>
            <w:tcW w:w="1968" w:type="dxa"/>
            <w:vAlign w:val="center"/>
          </w:tcPr>
          <w:p w14:paraId="6CB9A69D"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Descripción general</w:t>
            </w:r>
          </w:p>
        </w:tc>
        <w:tc>
          <w:tcPr>
            <w:tcW w:w="6860" w:type="dxa"/>
            <w:vAlign w:val="center"/>
          </w:tcPr>
          <w:p w14:paraId="2939C74D" w14:textId="05CE7659"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Medir la cobertura en el fortalecimiento institucional de los Organismos Garantes para el combate a la corrupción en términos de planeación.</w:t>
            </w:r>
          </w:p>
        </w:tc>
      </w:tr>
      <w:tr w:rsidR="00E35B30" w:rsidRPr="00BA784D" w14:paraId="591B640A" w14:textId="77777777">
        <w:trPr>
          <w:trHeight w:val="397"/>
        </w:trPr>
        <w:tc>
          <w:tcPr>
            <w:tcW w:w="1968" w:type="dxa"/>
          </w:tcPr>
          <w:p w14:paraId="1107F2FB"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Método de cálculo</w:t>
            </w:r>
          </w:p>
        </w:tc>
        <w:tc>
          <w:tcPr>
            <w:tcW w:w="6860" w:type="dxa"/>
          </w:tcPr>
          <w:p w14:paraId="6198154F" w14:textId="71592777" w:rsidR="00BA784D" w:rsidRDefault="0027114E">
            <w:pPr>
              <w:pBdr>
                <w:top w:val="nil"/>
                <w:left w:val="nil"/>
                <w:bottom w:val="nil"/>
                <w:right w:val="nil"/>
                <w:between w:val="nil"/>
              </w:pBdr>
              <w:spacing w:line="360" w:lineRule="auto"/>
              <w:rPr>
                <w:rFonts w:ascii="Times New Roman" w:eastAsia="Times New Roman" w:hAnsi="Times New Roman" w:cs="Times New Roman"/>
                <w:color w:val="000000"/>
                <w:sz w:val="24"/>
                <w:szCs w:val="24"/>
              </w:rPr>
            </w:pPr>
            <m:oMathPara>
              <m:oMath>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Σ</m:t>
                            </m:r>
                          </m:e>
                          <m:sub>
                            <m:r>
                              <w:rPr>
                                <w:rFonts w:ascii="Cambria Math" w:eastAsia="Times New Roman" w:hAnsi="Cambria Math" w:cs="Times New Roman"/>
                                <w:color w:val="000000"/>
                                <w:sz w:val="24"/>
                                <w:szCs w:val="24"/>
                              </w:rPr>
                              <m:t>i</m:t>
                            </m:r>
                          </m:sub>
                        </m:sSub>
                        <m:r>
                          <w:rPr>
                            <w:rFonts w:ascii="Cambria Math" w:eastAsia="Times New Roman" w:hAnsi="Cambria Math" w:cs="Times New Roman"/>
                            <w:color w:val="000000"/>
                            <w:sz w:val="24"/>
                            <w:szCs w:val="24"/>
                          </w:rPr>
                          <m:t>P</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i</m:t>
                            </m:r>
                          </m:sub>
                        </m:sSub>
                      </m:num>
                      <m:den>
                        <m:r>
                          <w:rPr>
                            <w:rFonts w:ascii="Cambria Math" w:eastAsia="Times New Roman" w:hAnsi="Cambria Math" w:cs="Times New Roman"/>
                            <w:color w:val="000000"/>
                            <w:sz w:val="24"/>
                            <w:szCs w:val="24"/>
                          </w:rPr>
                          <m:t>33</m:t>
                        </m:r>
                      </m:den>
                    </m:f>
                  </m:e>
                </m:d>
                <m:r>
                  <w:rPr>
                    <w:rFonts w:ascii="Cambria Math" w:eastAsia="Times New Roman" w:hAnsi="Cambria Math" w:cs="Times New Roman"/>
                    <w:color w:val="000000"/>
                    <w:sz w:val="24"/>
                    <w:szCs w:val="24"/>
                  </w:rPr>
                  <m:t>×100</m:t>
                </m:r>
              </m:oMath>
            </m:oMathPara>
          </w:p>
          <w:p w14:paraId="6FC3D11E" w14:textId="77777777"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BA784D">
              <w:rPr>
                <w:rFonts w:ascii="Times New Roman" w:eastAsia="Times New Roman" w:hAnsi="Times New Roman" w:cs="Times New Roman"/>
                <w:color w:val="000000"/>
                <w:sz w:val="24"/>
                <w:szCs w:val="24"/>
              </w:rPr>
              <w:t>Donde:</w:t>
            </w:r>
          </w:p>
          <w:p w14:paraId="463A6EA6" w14:textId="77777777" w:rsidR="00E35B30" w:rsidRPr="00BA784D" w:rsidRDefault="00E35B30">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08B9C085" w14:textId="044BF74C"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color w:val="000000"/>
                <w:sz w:val="24"/>
                <w:szCs w:val="24"/>
              </w:rPr>
            </w:pPr>
            <m:oMath>
              <m:r>
                <w:rPr>
                  <w:rFonts w:ascii="Times New Roman" w:eastAsia="Times New Roman" w:hAnsi="Times New Roman" w:cs="Times New Roman"/>
                  <w:color w:val="000000"/>
                  <w:sz w:val="24"/>
                  <w:szCs w:val="24"/>
                </w:rPr>
                <m:t>PA</m:t>
              </m:r>
            </m:oMath>
            <w:r w:rsidRPr="00BA784D">
              <w:rPr>
                <w:rFonts w:ascii="Times New Roman" w:eastAsia="Times New Roman" w:hAnsi="Times New Roman" w:cs="Times New Roman"/>
                <w:color w:val="000000"/>
                <w:sz w:val="24"/>
                <w:szCs w:val="24"/>
              </w:rPr>
              <w:t>, se refiere a la cuenta de Organismos Garantes que reportaron contar o estar en proceso de integración de un plan o programa anticorrupción (Sí cuenta con un plan o programa anticorrupción=1; en desarrollo=0.5)</w:t>
            </w:r>
          </w:p>
        </w:tc>
      </w:tr>
      <w:tr w:rsidR="00E35B30" w:rsidRPr="00BA784D" w14:paraId="795F22A5" w14:textId="77777777">
        <w:trPr>
          <w:trHeight w:val="397"/>
        </w:trPr>
        <w:tc>
          <w:tcPr>
            <w:tcW w:w="1968" w:type="dxa"/>
            <w:vAlign w:val="center"/>
          </w:tcPr>
          <w:p w14:paraId="0AD9B68B"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Periodicidad</w:t>
            </w:r>
          </w:p>
        </w:tc>
        <w:tc>
          <w:tcPr>
            <w:tcW w:w="6860" w:type="dxa"/>
            <w:vAlign w:val="center"/>
          </w:tcPr>
          <w:p w14:paraId="5D3C9CFB"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Anual.</w:t>
            </w:r>
          </w:p>
        </w:tc>
      </w:tr>
      <w:tr w:rsidR="00E35B30" w:rsidRPr="00BA784D" w14:paraId="1DDCE994" w14:textId="77777777">
        <w:trPr>
          <w:trHeight w:val="397"/>
        </w:trPr>
        <w:tc>
          <w:tcPr>
            <w:tcW w:w="1968" w:type="dxa"/>
            <w:vAlign w:val="center"/>
          </w:tcPr>
          <w:p w14:paraId="51C10F7F"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Medios de verificación</w:t>
            </w:r>
          </w:p>
        </w:tc>
        <w:tc>
          <w:tcPr>
            <w:tcW w:w="6860" w:type="dxa"/>
            <w:vAlign w:val="center"/>
          </w:tcPr>
          <w:p w14:paraId="5BB1EAEE" w14:textId="77777777" w:rsidR="00017507"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INEGI. </w:t>
            </w:r>
          </w:p>
          <w:p w14:paraId="215AE043" w14:textId="44E3912E"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Censo Nacional de Transparencia, Acceso a la Información Pública y Protección de Datos Personales</w:t>
            </w:r>
            <w:r w:rsidR="00017507" w:rsidRPr="00BA784D">
              <w:rPr>
                <w:rFonts w:ascii="Times New Roman" w:eastAsia="Times New Roman" w:hAnsi="Times New Roman" w:cs="Times New Roman"/>
                <w:sz w:val="24"/>
                <w:szCs w:val="24"/>
              </w:rPr>
              <w:t xml:space="preserve"> Federal</w:t>
            </w:r>
            <w:r w:rsidRPr="00BA784D">
              <w:rPr>
                <w:rFonts w:ascii="Times New Roman" w:eastAsia="Times New Roman" w:hAnsi="Times New Roman" w:cs="Times New Roman"/>
                <w:sz w:val="24"/>
                <w:szCs w:val="24"/>
              </w:rPr>
              <w:t xml:space="preserve"> (</w:t>
            </w:r>
            <w:r w:rsidR="00017507" w:rsidRPr="00BA784D">
              <w:rPr>
                <w:rFonts w:ascii="Times New Roman" w:eastAsia="Times New Roman" w:hAnsi="Times New Roman" w:cs="Times New Roman"/>
                <w:sz w:val="24"/>
                <w:szCs w:val="24"/>
              </w:rPr>
              <w:t>CNTAIPPDP</w:t>
            </w:r>
            <w:r w:rsidR="00505E6F" w:rsidRPr="00BA784D">
              <w:rPr>
                <w:rFonts w:ascii="Times New Roman" w:eastAsia="Times New Roman" w:hAnsi="Times New Roman" w:cs="Times New Roman"/>
                <w:sz w:val="24"/>
                <w:szCs w:val="24"/>
              </w:rPr>
              <w:t>F</w:t>
            </w:r>
            <w:r w:rsidRPr="00BA784D">
              <w:rPr>
                <w:rFonts w:ascii="Times New Roman" w:eastAsia="Times New Roman" w:hAnsi="Times New Roman" w:cs="Times New Roman"/>
                <w:sz w:val="24"/>
                <w:szCs w:val="24"/>
              </w:rPr>
              <w:t>).</w:t>
            </w:r>
            <w:r w:rsidR="00F51508" w:rsidRPr="00BA784D">
              <w:rPr>
                <w:rFonts w:ascii="Times New Roman" w:eastAsia="Times New Roman" w:hAnsi="Times New Roman" w:cs="Times New Roman"/>
                <w:sz w:val="24"/>
                <w:szCs w:val="24"/>
              </w:rPr>
              <w:t xml:space="preserve"> </w:t>
            </w:r>
          </w:p>
          <w:p w14:paraId="767C6934" w14:textId="6E24BE00" w:rsidR="00017507" w:rsidRPr="00BA784D" w:rsidRDefault="00017507">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color w:val="000000"/>
                <w:sz w:val="24"/>
                <w:szCs w:val="24"/>
              </w:rPr>
              <w:t>Censo Nacional de Transparencia, Acceso a la Información Pública y Protección de Datos Personales Estatal (CNTAIPPDP</w:t>
            </w:r>
            <w:r w:rsidR="00505E6F" w:rsidRPr="00BA784D">
              <w:rPr>
                <w:rFonts w:ascii="Times New Roman" w:eastAsia="Times New Roman" w:hAnsi="Times New Roman" w:cs="Times New Roman"/>
                <w:color w:val="000000"/>
                <w:sz w:val="24"/>
                <w:szCs w:val="24"/>
              </w:rPr>
              <w:t>E</w:t>
            </w:r>
            <w:r w:rsidRPr="00BA784D">
              <w:rPr>
                <w:rFonts w:ascii="Times New Roman" w:eastAsia="Times New Roman" w:hAnsi="Times New Roman" w:cs="Times New Roman"/>
                <w:color w:val="000000"/>
                <w:sz w:val="24"/>
                <w:szCs w:val="24"/>
              </w:rPr>
              <w:t>).</w:t>
            </w:r>
          </w:p>
        </w:tc>
      </w:tr>
      <w:tr w:rsidR="00FD4F8F" w:rsidRPr="00BA784D" w14:paraId="27A134DF" w14:textId="77777777" w:rsidTr="001F0B45">
        <w:trPr>
          <w:trHeight w:val="397"/>
        </w:trPr>
        <w:tc>
          <w:tcPr>
            <w:tcW w:w="1968" w:type="dxa"/>
            <w:vAlign w:val="center"/>
          </w:tcPr>
          <w:p w14:paraId="3EF985A4" w14:textId="77777777" w:rsidR="00FD4F8F" w:rsidRPr="00BA784D" w:rsidRDefault="00FD4F8F">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Reactivos utilizados</w:t>
            </w:r>
          </w:p>
        </w:tc>
        <w:tc>
          <w:tcPr>
            <w:tcW w:w="6860" w:type="dxa"/>
            <w:vAlign w:val="center"/>
          </w:tcPr>
          <w:p w14:paraId="68220544" w14:textId="77777777" w:rsidR="00FD4F8F" w:rsidRPr="00BA784D" w:rsidRDefault="00FD4F8F">
            <w:pPr>
              <w:spacing w:line="360" w:lineRule="auto"/>
              <w:rPr>
                <w:rFonts w:ascii="Times New Roman" w:eastAsia="Times New Roman" w:hAnsi="Times New Roman" w:cs="Times New Roman"/>
                <w:i/>
                <w:sz w:val="24"/>
                <w:szCs w:val="24"/>
              </w:rPr>
            </w:pPr>
            <w:r w:rsidRPr="00BA784D">
              <w:rPr>
                <w:rFonts w:ascii="Times New Roman" w:eastAsia="Times New Roman" w:hAnsi="Times New Roman" w:cs="Times New Roman"/>
                <w:i/>
                <w:sz w:val="24"/>
                <w:szCs w:val="24"/>
              </w:rPr>
              <w:t>Variable: PA</w:t>
            </w:r>
          </w:p>
          <w:p w14:paraId="7C30E02F" w14:textId="77777777" w:rsidR="00FD4F8F" w:rsidRPr="00BA784D" w:rsidRDefault="00FD4F8F">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Censo Estatal</w:t>
            </w:r>
            <w:r w:rsidRPr="00BA784D">
              <w:rPr>
                <w:rFonts w:ascii="Times New Roman" w:eastAsia="Times New Roman" w:hAnsi="Times New Roman" w:cs="Times New Roman"/>
                <w:sz w:val="24"/>
                <w:szCs w:val="24"/>
              </w:rPr>
              <w:tab/>
              <w:t>Módulo 01 Sección 06 Pregunta 98</w:t>
            </w:r>
          </w:p>
          <w:p w14:paraId="5CD66302" w14:textId="7A156D26" w:rsidR="00FD4F8F" w:rsidRPr="00BA784D" w:rsidRDefault="00FD4F8F">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Censo Federal</w:t>
            </w:r>
            <w:r w:rsidRPr="00BA784D">
              <w:rPr>
                <w:rFonts w:ascii="Times New Roman" w:eastAsia="Times New Roman" w:hAnsi="Times New Roman" w:cs="Times New Roman"/>
                <w:sz w:val="24"/>
                <w:szCs w:val="24"/>
              </w:rPr>
              <w:tab/>
              <w:t>Módulo 01 Sección 06 Pregunta 94</w:t>
            </w:r>
          </w:p>
        </w:tc>
      </w:tr>
      <w:tr w:rsidR="00E35B30" w:rsidRPr="00BA784D" w14:paraId="6DC86CD5" w14:textId="77777777">
        <w:trPr>
          <w:trHeight w:val="397"/>
        </w:trPr>
        <w:tc>
          <w:tcPr>
            <w:tcW w:w="1968" w:type="dxa"/>
            <w:vAlign w:val="center"/>
          </w:tcPr>
          <w:p w14:paraId="6E760D20" w14:textId="77777777" w:rsidR="00E35B30" w:rsidRPr="00BA784D" w:rsidRDefault="0036612A">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lastRenderedPageBreak/>
              <w:t>Actores vinculados con el indicador</w:t>
            </w:r>
          </w:p>
        </w:tc>
        <w:tc>
          <w:tcPr>
            <w:tcW w:w="6860" w:type="dxa"/>
            <w:vAlign w:val="center"/>
          </w:tcPr>
          <w:p w14:paraId="41E274B8"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Organismos Garantes.</w:t>
            </w:r>
          </w:p>
          <w:p w14:paraId="27A4867F" w14:textId="77777777" w:rsidR="00E35B30" w:rsidRPr="00BA784D" w:rsidRDefault="00E35B30">
            <w:pPr>
              <w:spacing w:line="360" w:lineRule="auto"/>
              <w:rPr>
                <w:rFonts w:ascii="Times New Roman" w:eastAsia="Times New Roman" w:hAnsi="Times New Roman" w:cs="Times New Roman"/>
                <w:sz w:val="24"/>
                <w:szCs w:val="24"/>
              </w:rPr>
            </w:pPr>
          </w:p>
        </w:tc>
      </w:tr>
      <w:tr w:rsidR="00640466" w:rsidRPr="00BA784D" w14:paraId="03D54C43" w14:textId="77777777" w:rsidTr="00EC37B3">
        <w:trPr>
          <w:trHeight w:val="397"/>
        </w:trPr>
        <w:tc>
          <w:tcPr>
            <w:tcW w:w="1968" w:type="dxa"/>
            <w:vAlign w:val="center"/>
          </w:tcPr>
          <w:p w14:paraId="3D041826" w14:textId="131478BA" w:rsidR="00640466" w:rsidRPr="00BA784D" w:rsidRDefault="00640466"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Línea base (CNTAIPPDPF y CNTAIPPDPE 2020)</w:t>
            </w:r>
          </w:p>
        </w:tc>
        <w:tc>
          <w:tcPr>
            <w:tcW w:w="6860" w:type="dxa"/>
            <w:vAlign w:val="center"/>
          </w:tcPr>
          <w:p w14:paraId="28A6D98B" w14:textId="77777777" w:rsidR="00FD4F8F" w:rsidRDefault="00944A8C" w:rsidP="00640466">
            <w:pP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39.39</w:t>
            </w:r>
            <w:r w:rsidR="00640466" w:rsidRPr="00BA784D">
              <w:rPr>
                <w:rFonts w:ascii="Times New Roman" w:eastAsia="Times New Roman" w:hAnsi="Times New Roman" w:cs="Times New Roman"/>
                <w:sz w:val="24"/>
                <w:szCs w:val="24"/>
              </w:rPr>
              <w:t xml:space="preserve">% </w:t>
            </w:r>
            <w:r w:rsidR="00640466" w:rsidRPr="00BA784D">
              <w:rPr>
                <w:rFonts w:ascii="Times New Roman" w:eastAsia="Times New Roman" w:hAnsi="Times New Roman" w:cs="Times New Roman"/>
                <w:sz w:val="24"/>
                <w:szCs w:val="24"/>
              </w:rPr>
              <w:br/>
            </w:r>
          </w:p>
          <w:p w14:paraId="611F2B84" w14:textId="23F470FB" w:rsidR="00640466" w:rsidRPr="00BA784D" w:rsidRDefault="0027114E" w:rsidP="00640466">
            <w:pPr>
              <w:spacing w:line="360" w:lineRule="auto"/>
              <w:rPr>
                <w:rFonts w:ascii="Times New Roman" w:eastAsia="Times New Roman" w:hAnsi="Times New Roman" w:cs="Times New Roman"/>
                <w:sz w:val="24"/>
                <w:szCs w:val="24"/>
              </w:rPr>
            </w:pPr>
            <w:hyperlink r:id="rId37" w:history="1">
              <w:r w:rsidR="00FD4F8F" w:rsidRPr="00FD4F8F">
                <w:rPr>
                  <w:rStyle w:val="Hipervnculo"/>
                  <w:rFonts w:ascii="Times New Roman" w:eastAsia="Times New Roman" w:hAnsi="Times New Roman" w:cs="Times New Roman"/>
                  <w:sz w:val="24"/>
                  <w:szCs w:val="24"/>
                </w:rPr>
                <w:t>https://www.inegi.org.mx/programas/cntaippdpf/2020/</w:t>
              </w:r>
            </w:hyperlink>
            <w:r w:rsidR="00FD4F8F" w:rsidRPr="00BA784D">
              <w:rPr>
                <w:rFonts w:ascii="Times New Roman" w:eastAsia="Times New Roman" w:hAnsi="Times New Roman" w:cs="Times New Roman"/>
                <w:sz w:val="24"/>
                <w:szCs w:val="24"/>
              </w:rPr>
              <w:t xml:space="preserve"> y </w:t>
            </w:r>
            <w:hyperlink r:id="rId38" w:history="1">
              <w:r w:rsidR="00FD4F8F" w:rsidRPr="00FD4F8F">
                <w:rPr>
                  <w:rStyle w:val="Hipervnculo"/>
                  <w:rFonts w:ascii="Times New Roman" w:eastAsia="Times New Roman" w:hAnsi="Times New Roman" w:cs="Times New Roman"/>
                  <w:sz w:val="24"/>
                  <w:szCs w:val="24"/>
                </w:rPr>
                <w:t>https://www.inegi.org.mx/programas/cntaippdpe/2020/</w:t>
              </w:r>
            </w:hyperlink>
          </w:p>
        </w:tc>
      </w:tr>
      <w:tr w:rsidR="00640466" w:rsidRPr="00BA784D" w14:paraId="67E30696" w14:textId="77777777" w:rsidTr="00EC37B3">
        <w:trPr>
          <w:trHeight w:val="397"/>
        </w:trPr>
        <w:tc>
          <w:tcPr>
            <w:tcW w:w="1968" w:type="dxa"/>
            <w:vAlign w:val="center"/>
          </w:tcPr>
          <w:p w14:paraId="28DB49A2" w14:textId="780B9BBA" w:rsidR="00640466" w:rsidRPr="00BA784D" w:rsidRDefault="00640466"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2022 (CNTAIPPDPF y CNTAIPPDPE 2023)</w:t>
            </w:r>
          </w:p>
        </w:tc>
        <w:tc>
          <w:tcPr>
            <w:tcW w:w="6860" w:type="dxa"/>
            <w:vAlign w:val="center"/>
          </w:tcPr>
          <w:p w14:paraId="7FA49487" w14:textId="77777777" w:rsidR="00640466" w:rsidRPr="00BA784D" w:rsidRDefault="00640466"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color w:val="000000"/>
                <w:sz w:val="24"/>
                <w:szCs w:val="24"/>
              </w:rPr>
              <w:t>56.82%</w:t>
            </w:r>
          </w:p>
        </w:tc>
      </w:tr>
      <w:tr w:rsidR="00640466" w:rsidRPr="00BA784D" w14:paraId="3B6F8D98" w14:textId="77777777" w:rsidTr="00EC37B3">
        <w:trPr>
          <w:trHeight w:val="397"/>
        </w:trPr>
        <w:tc>
          <w:tcPr>
            <w:tcW w:w="1968" w:type="dxa"/>
            <w:vAlign w:val="center"/>
          </w:tcPr>
          <w:p w14:paraId="0B8098F7" w14:textId="70621811" w:rsidR="00640466" w:rsidRPr="00BA784D" w:rsidRDefault="00640466"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2023 (CNTAIPPDPF y CNTAIPPDPE 2024)</w:t>
            </w:r>
          </w:p>
        </w:tc>
        <w:tc>
          <w:tcPr>
            <w:tcW w:w="6860" w:type="dxa"/>
            <w:vAlign w:val="center"/>
          </w:tcPr>
          <w:p w14:paraId="5F78E17E" w14:textId="77777777" w:rsidR="00640466" w:rsidRPr="00BA784D" w:rsidRDefault="00640466"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75.01%</w:t>
            </w:r>
          </w:p>
        </w:tc>
      </w:tr>
      <w:tr w:rsidR="00640466" w:rsidRPr="00BA784D" w14:paraId="7673F770" w14:textId="77777777" w:rsidTr="00EC37B3">
        <w:trPr>
          <w:trHeight w:val="397"/>
        </w:trPr>
        <w:tc>
          <w:tcPr>
            <w:tcW w:w="1968" w:type="dxa"/>
            <w:vAlign w:val="center"/>
          </w:tcPr>
          <w:p w14:paraId="4197CC7F" w14:textId="7E423AC9" w:rsidR="00640466" w:rsidRPr="00BA784D" w:rsidRDefault="00640466"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2024 (CNTAIPPDPF y CNTAIPPDPE 2025)</w:t>
            </w:r>
          </w:p>
        </w:tc>
        <w:tc>
          <w:tcPr>
            <w:tcW w:w="6860" w:type="dxa"/>
            <w:vAlign w:val="center"/>
          </w:tcPr>
          <w:p w14:paraId="778CFA87" w14:textId="77777777" w:rsidR="00640466" w:rsidRPr="00BA784D" w:rsidRDefault="00640466"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93.20%</w:t>
            </w:r>
          </w:p>
        </w:tc>
      </w:tr>
      <w:tr w:rsidR="00110E78" w:rsidRPr="00BA784D" w14:paraId="6C4AB28D" w14:textId="77777777" w:rsidTr="00EC37B3">
        <w:trPr>
          <w:trHeight w:val="397"/>
        </w:trPr>
        <w:tc>
          <w:tcPr>
            <w:tcW w:w="1968" w:type="dxa"/>
            <w:vAlign w:val="center"/>
          </w:tcPr>
          <w:p w14:paraId="25845C0C" w14:textId="5D0E534A" w:rsidR="00110E78" w:rsidRPr="00BA784D" w:rsidRDefault="00110E78"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2025 (CNTAIPPDPF y CNTAIPPDPE 2026)</w:t>
            </w:r>
          </w:p>
        </w:tc>
        <w:tc>
          <w:tcPr>
            <w:tcW w:w="6860" w:type="dxa"/>
            <w:vAlign w:val="center"/>
          </w:tcPr>
          <w:p w14:paraId="61CC0E3A" w14:textId="62A6090D" w:rsidR="00110E78" w:rsidRPr="00BA784D" w:rsidRDefault="00110E78"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100%</w:t>
            </w:r>
          </w:p>
        </w:tc>
      </w:tr>
      <w:tr w:rsidR="00110E78" w:rsidRPr="00BA784D" w14:paraId="115F17DE" w14:textId="77777777" w:rsidTr="00EC37B3">
        <w:trPr>
          <w:trHeight w:val="397"/>
        </w:trPr>
        <w:tc>
          <w:tcPr>
            <w:tcW w:w="1968" w:type="dxa"/>
            <w:vAlign w:val="center"/>
          </w:tcPr>
          <w:p w14:paraId="4D3A64D9" w14:textId="5EFF62CD" w:rsidR="00110E78" w:rsidRPr="00BA784D" w:rsidRDefault="00110E78"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 xml:space="preserve">Meta 2026 (CNTAIPPDPF </w:t>
            </w:r>
            <w:r w:rsidRPr="00BA784D">
              <w:rPr>
                <w:rFonts w:ascii="Times New Roman" w:eastAsia="Times New Roman" w:hAnsi="Times New Roman" w:cs="Times New Roman"/>
                <w:smallCaps/>
                <w:sz w:val="24"/>
                <w:szCs w:val="24"/>
              </w:rPr>
              <w:lastRenderedPageBreak/>
              <w:t>y CNTAIPPDPE 2027)</w:t>
            </w:r>
          </w:p>
        </w:tc>
        <w:tc>
          <w:tcPr>
            <w:tcW w:w="6860" w:type="dxa"/>
            <w:vAlign w:val="center"/>
          </w:tcPr>
          <w:p w14:paraId="543BB36C" w14:textId="56AF4413" w:rsidR="00110E78" w:rsidRPr="00BA784D" w:rsidRDefault="00110E78"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100%</w:t>
            </w:r>
          </w:p>
        </w:tc>
      </w:tr>
      <w:tr w:rsidR="00E35B30" w:rsidRPr="00BA784D" w14:paraId="6FFB6AB2" w14:textId="77777777">
        <w:trPr>
          <w:trHeight w:val="397"/>
        </w:trPr>
        <w:tc>
          <w:tcPr>
            <w:tcW w:w="1968" w:type="dxa"/>
            <w:vAlign w:val="center"/>
          </w:tcPr>
          <w:p w14:paraId="59E88131" w14:textId="77777777"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mallCaps/>
                <w:sz w:val="24"/>
                <w:szCs w:val="24"/>
              </w:rPr>
              <w:t>Observaciones</w:t>
            </w:r>
          </w:p>
        </w:tc>
        <w:tc>
          <w:tcPr>
            <w:tcW w:w="6860" w:type="dxa"/>
            <w:vAlign w:val="center"/>
          </w:tcPr>
          <w:p w14:paraId="47B1183B" w14:textId="77777777" w:rsidR="00E35B30" w:rsidRPr="00BA784D" w:rsidRDefault="0036612A">
            <w:pPr>
              <w:pBdr>
                <w:top w:val="nil"/>
                <w:left w:val="nil"/>
                <w:bottom w:val="nil"/>
                <w:right w:val="nil"/>
                <w:between w:val="nil"/>
              </w:pBd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Tras la implementación de acciones y prioridades de la Política Nacional Anticorrupción se sugiere incluir un componente al indicador que permitan dar seguimiento a la participación de los Organismos Garantes en dichas iniciativas.</w:t>
            </w:r>
          </w:p>
        </w:tc>
      </w:tr>
      <w:tr w:rsidR="00FC2A4F" w:rsidRPr="00BA784D" w14:paraId="04CC3A02" w14:textId="77777777">
        <w:trPr>
          <w:trHeight w:val="397"/>
        </w:trPr>
        <w:tc>
          <w:tcPr>
            <w:tcW w:w="1968" w:type="dxa"/>
            <w:vAlign w:val="center"/>
          </w:tcPr>
          <w:p w14:paraId="05774180" w14:textId="24045E5E" w:rsidR="00FC2A4F" w:rsidRPr="00BA784D" w:rsidRDefault="00FC2A4F" w:rsidP="00FC2A4F">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comportamiento esperado</w:t>
            </w:r>
          </w:p>
        </w:tc>
        <w:tc>
          <w:tcPr>
            <w:tcW w:w="6860" w:type="dxa"/>
            <w:vAlign w:val="center"/>
          </w:tcPr>
          <w:p w14:paraId="4B18784F" w14:textId="4DD61F8A" w:rsidR="00FC2A4F" w:rsidRPr="00BA784D" w:rsidRDefault="0011221F" w:rsidP="00FC2A4F">
            <w:pPr>
              <w:widowControl/>
              <w:spacing w:before="280" w:after="280"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w:t>
            </w:r>
            <w:r w:rsidR="0089608F" w:rsidRPr="00BA784D">
              <w:rPr>
                <w:rFonts w:ascii="Times New Roman" w:eastAsia="Times New Roman" w:hAnsi="Times New Roman" w:cs="Times New Roman"/>
                <w:sz w:val="24"/>
                <w:szCs w:val="24"/>
              </w:rPr>
              <w:t>scendente</w:t>
            </w:r>
          </w:p>
        </w:tc>
      </w:tr>
    </w:tbl>
    <w:p w14:paraId="1B3911A6" w14:textId="77777777" w:rsidR="00E35B30" w:rsidRPr="00BA784D" w:rsidRDefault="00E35B30">
      <w:pPr>
        <w:spacing w:line="360" w:lineRule="auto"/>
        <w:rPr>
          <w:rFonts w:ascii="Times New Roman" w:eastAsia="Times New Roman" w:hAnsi="Times New Roman" w:cs="Times New Roman"/>
          <w:sz w:val="24"/>
          <w:szCs w:val="24"/>
        </w:rPr>
      </w:pPr>
    </w:p>
    <w:p w14:paraId="7766BED4" w14:textId="77777777" w:rsidR="00E35B30" w:rsidRPr="00BA784D" w:rsidRDefault="0036612A">
      <w:pPr>
        <w:spacing w:line="360" w:lineRule="auto"/>
        <w:rPr>
          <w:rFonts w:ascii="Times New Roman" w:eastAsia="Times New Roman" w:hAnsi="Times New Roman" w:cs="Times New Roman"/>
          <w:sz w:val="24"/>
          <w:szCs w:val="24"/>
        </w:rPr>
      </w:pPr>
      <w:r w:rsidRPr="00BA784D">
        <w:br w:type="page"/>
      </w:r>
    </w:p>
    <w:tbl>
      <w:tblPr>
        <w:tblStyle w:val="4"/>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E35B30" w:rsidRPr="00BA784D" w14:paraId="7BE6D0BF" w14:textId="77777777">
        <w:trPr>
          <w:trHeight w:val="410"/>
        </w:trPr>
        <w:tc>
          <w:tcPr>
            <w:tcW w:w="8828" w:type="dxa"/>
            <w:gridSpan w:val="2"/>
          </w:tcPr>
          <w:p w14:paraId="3BB3CDB1" w14:textId="77777777" w:rsidR="00E35B30" w:rsidRPr="00BA784D" w:rsidRDefault="0036612A">
            <w:pPr>
              <w:pStyle w:val="Ttulo4"/>
              <w:spacing w:line="360" w:lineRule="auto"/>
              <w:ind w:firstLine="100"/>
              <w:jc w:val="both"/>
              <w:rPr>
                <w:rFonts w:ascii="Times New Roman" w:eastAsia="Times New Roman" w:hAnsi="Times New Roman" w:cs="Times New Roman"/>
              </w:rPr>
            </w:pPr>
            <w:bookmarkStart w:id="62" w:name="_Toc102051254"/>
            <w:r w:rsidRPr="00BA784D">
              <w:rPr>
                <w:rFonts w:ascii="Times New Roman" w:eastAsia="Times New Roman" w:hAnsi="Times New Roman" w:cs="Times New Roman"/>
              </w:rPr>
              <w:lastRenderedPageBreak/>
              <w:t>FICHA INDICADOR 5.1 Porcentaje de Recursos de Revisión en Materia de Acceso a la Información Desechados por los Organismos Garantes.</w:t>
            </w:r>
            <w:bookmarkEnd w:id="62"/>
          </w:p>
        </w:tc>
      </w:tr>
      <w:tr w:rsidR="00E35B30" w:rsidRPr="00BA784D" w14:paraId="52A24255" w14:textId="77777777">
        <w:trPr>
          <w:trHeight w:val="397"/>
        </w:trPr>
        <w:tc>
          <w:tcPr>
            <w:tcW w:w="1969" w:type="dxa"/>
            <w:shd w:val="clear" w:color="auto" w:fill="767171"/>
            <w:vAlign w:val="center"/>
          </w:tcPr>
          <w:p w14:paraId="60E31A3C" w14:textId="77777777" w:rsidR="00E35B30" w:rsidRPr="00BA784D" w:rsidRDefault="0036612A">
            <w:pPr>
              <w:spacing w:line="360" w:lineRule="auto"/>
              <w:jc w:val="center"/>
              <w:rPr>
                <w:rFonts w:ascii="Times New Roman" w:eastAsia="Times New Roman" w:hAnsi="Times New Roman" w:cs="Times New Roman"/>
                <w:color w:val="FFFFFF"/>
                <w:sz w:val="24"/>
                <w:szCs w:val="24"/>
              </w:rPr>
            </w:pPr>
            <w:r w:rsidRPr="00BA784D">
              <w:rPr>
                <w:rFonts w:ascii="Times New Roman" w:eastAsia="Times New Roman" w:hAnsi="Times New Roman" w:cs="Times New Roman"/>
                <w:color w:val="FFFFFF"/>
                <w:sz w:val="24"/>
                <w:szCs w:val="24"/>
              </w:rPr>
              <w:t>ELEMENTO</w:t>
            </w:r>
          </w:p>
        </w:tc>
        <w:tc>
          <w:tcPr>
            <w:tcW w:w="6859" w:type="dxa"/>
            <w:shd w:val="clear" w:color="auto" w:fill="767171"/>
            <w:vAlign w:val="center"/>
          </w:tcPr>
          <w:p w14:paraId="03724A8A" w14:textId="77777777" w:rsidR="00E35B30" w:rsidRPr="00BA784D" w:rsidRDefault="0036612A">
            <w:pPr>
              <w:spacing w:line="360" w:lineRule="auto"/>
              <w:jc w:val="center"/>
              <w:rPr>
                <w:rFonts w:ascii="Times New Roman" w:eastAsia="Times New Roman" w:hAnsi="Times New Roman" w:cs="Times New Roman"/>
                <w:color w:val="FFFFFF"/>
                <w:sz w:val="24"/>
                <w:szCs w:val="24"/>
              </w:rPr>
            </w:pPr>
            <w:r w:rsidRPr="00BA784D">
              <w:rPr>
                <w:rFonts w:ascii="Times New Roman" w:eastAsia="Times New Roman" w:hAnsi="Times New Roman" w:cs="Times New Roman"/>
                <w:b/>
                <w:color w:val="FFFFFF"/>
                <w:sz w:val="24"/>
                <w:szCs w:val="24"/>
              </w:rPr>
              <w:t>CARACTERÍSTICA</w:t>
            </w:r>
          </w:p>
        </w:tc>
      </w:tr>
      <w:tr w:rsidR="00E35B30" w:rsidRPr="00BA784D" w14:paraId="09AD1A34" w14:textId="77777777">
        <w:trPr>
          <w:trHeight w:val="397"/>
        </w:trPr>
        <w:tc>
          <w:tcPr>
            <w:tcW w:w="1969" w:type="dxa"/>
            <w:vAlign w:val="center"/>
          </w:tcPr>
          <w:p w14:paraId="35D7AB8B" w14:textId="77777777" w:rsidR="00E35B30" w:rsidRPr="00BA784D" w:rsidRDefault="0036612A">
            <w:pPr>
              <w:spacing w:line="360" w:lineRule="auto"/>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Eje</w:t>
            </w:r>
          </w:p>
        </w:tc>
        <w:tc>
          <w:tcPr>
            <w:tcW w:w="6859" w:type="dxa"/>
            <w:vAlign w:val="center"/>
          </w:tcPr>
          <w:p w14:paraId="2DDCC638"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5. Actividad Materialmente Jurisdiccional.</w:t>
            </w:r>
          </w:p>
        </w:tc>
      </w:tr>
      <w:tr w:rsidR="00E35B30" w:rsidRPr="00BA784D" w14:paraId="58459FDA" w14:textId="77777777">
        <w:trPr>
          <w:trHeight w:val="397"/>
        </w:trPr>
        <w:tc>
          <w:tcPr>
            <w:tcW w:w="1969" w:type="dxa"/>
            <w:vAlign w:val="center"/>
          </w:tcPr>
          <w:p w14:paraId="50D2F7C9"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Objetivo</w:t>
            </w:r>
          </w:p>
        </w:tc>
        <w:tc>
          <w:tcPr>
            <w:tcW w:w="6859" w:type="dxa"/>
            <w:vAlign w:val="center"/>
          </w:tcPr>
          <w:p w14:paraId="4878AB04"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5.1 Optimizar los procesos para la tutela del Derecho de Acceso a la Información desde una perspectiva de mejora continua en los Organismos Garantes y los Sujetos Obligados.</w:t>
            </w:r>
          </w:p>
        </w:tc>
      </w:tr>
      <w:tr w:rsidR="00E35B30" w:rsidRPr="00BA784D" w14:paraId="569963C4" w14:textId="77777777">
        <w:trPr>
          <w:trHeight w:val="397"/>
        </w:trPr>
        <w:tc>
          <w:tcPr>
            <w:tcW w:w="1969" w:type="dxa"/>
            <w:vAlign w:val="center"/>
          </w:tcPr>
          <w:p w14:paraId="02126184"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Descripción general</w:t>
            </w:r>
          </w:p>
        </w:tc>
        <w:tc>
          <w:tcPr>
            <w:tcW w:w="6859" w:type="dxa"/>
            <w:vAlign w:val="center"/>
          </w:tcPr>
          <w:p w14:paraId="1633A6F9" w14:textId="42F8894D"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Medir la cobertura en la atención de los recursos de revisión</w:t>
            </w:r>
            <w:r w:rsidR="00712BF6" w:rsidRPr="00BA784D">
              <w:rPr>
                <w:rFonts w:ascii="Times New Roman" w:eastAsia="Times New Roman" w:hAnsi="Times New Roman" w:cs="Times New Roman"/>
                <w:sz w:val="24"/>
                <w:szCs w:val="24"/>
              </w:rPr>
              <w:t xml:space="preserve"> en materia de acceso a la información</w:t>
            </w:r>
            <w:r w:rsidRPr="00BA784D">
              <w:rPr>
                <w:rFonts w:ascii="Times New Roman" w:eastAsia="Times New Roman" w:hAnsi="Times New Roman" w:cs="Times New Roman"/>
                <w:sz w:val="24"/>
                <w:szCs w:val="24"/>
              </w:rPr>
              <w:t>.</w:t>
            </w:r>
          </w:p>
        </w:tc>
      </w:tr>
      <w:tr w:rsidR="00E35B30" w:rsidRPr="00BA784D" w14:paraId="49CD222B" w14:textId="77777777">
        <w:trPr>
          <w:trHeight w:val="397"/>
        </w:trPr>
        <w:tc>
          <w:tcPr>
            <w:tcW w:w="1969" w:type="dxa"/>
          </w:tcPr>
          <w:p w14:paraId="559547B8"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Método de cálculo</w:t>
            </w:r>
          </w:p>
        </w:tc>
        <w:tc>
          <w:tcPr>
            <w:tcW w:w="6859" w:type="dxa"/>
          </w:tcPr>
          <w:p w14:paraId="5A8F19F5" w14:textId="77777777" w:rsidR="00E35B30" w:rsidRPr="00BA784D" w:rsidRDefault="0027114E">
            <w:pPr>
              <w:jc w:val="center"/>
              <w:rPr>
                <w:rFonts w:ascii="Times New Roman" w:eastAsia="Times New Roman" w:hAnsi="Times New Roman" w:cs="Times New Roman"/>
                <w:sz w:val="24"/>
                <w:szCs w:val="24"/>
              </w:rPr>
            </w:pPr>
            <m:oMathPara>
              <m:oMath>
                <m:d>
                  <m:dPr>
                    <m:ctrlPr>
                      <w:rPr>
                        <w:rFonts w:ascii="Cambria Math" w:hAnsi="Cambria Math"/>
                      </w:rPr>
                    </m:ctrlPr>
                  </m:dPr>
                  <m:e>
                    <m:f>
                      <m:fPr>
                        <m:ctrlPr>
                          <w:rPr>
                            <w:rFonts w:ascii="Cambria Math" w:hAnsi="Cambria Math"/>
                          </w:rPr>
                        </m:ctrlPr>
                      </m:fPr>
                      <m:num>
                        <m:sSub>
                          <m:sSubPr>
                            <m:ctrlPr>
                              <w:rPr>
                                <w:rFonts w:ascii="Times New Roman" w:eastAsia="Times New Roman" w:hAnsi="Times New Roman" w:cs="Times New Roman"/>
                                <w:sz w:val="24"/>
                                <w:szCs w:val="24"/>
                              </w:rPr>
                            </m:ctrlPr>
                          </m:sSubPr>
                          <m:e>
                            <m:sSub>
                              <m:sSubPr>
                                <m:ctrlPr>
                                  <w:rPr>
                                    <w:rFonts w:ascii="Times New Roman" w:eastAsia="Times New Roman" w:hAnsi="Times New Roman" w:cs="Times New Roman"/>
                                    <w:sz w:val="24"/>
                                    <w:szCs w:val="24"/>
                                  </w:rPr>
                                </m:ctrlPr>
                              </m:sSubPr>
                              <m:e>
                                <m:r>
                                  <w:rPr>
                                    <w:rFonts w:ascii="Cambria Math" w:hAnsi="Cambria Math"/>
                                  </w:rPr>
                                  <m:t>Σ</m:t>
                                </m:r>
                              </m:e>
                              <m:sub>
                                <m:r>
                                  <w:rPr>
                                    <w:rFonts w:ascii="Times New Roman" w:eastAsia="Times New Roman" w:hAnsi="Times New Roman" w:cs="Times New Roman"/>
                                    <w:sz w:val="24"/>
                                    <w:szCs w:val="24"/>
                                  </w:rPr>
                                  <m:t>i</m:t>
                                </m:r>
                              </m:sub>
                            </m:sSub>
                            <m:r>
                              <w:rPr>
                                <w:rFonts w:ascii="Times New Roman" w:eastAsia="Times New Roman" w:hAnsi="Times New Roman" w:cs="Times New Roman"/>
                                <w:sz w:val="24"/>
                                <w:szCs w:val="24"/>
                              </w:rPr>
                              <m:t>RRD</m:t>
                            </m:r>
                          </m:e>
                          <m:sub>
                            <m:r>
                              <w:rPr>
                                <w:rFonts w:ascii="Times New Roman" w:eastAsia="Times New Roman" w:hAnsi="Times New Roman" w:cs="Times New Roman"/>
                                <w:sz w:val="24"/>
                                <w:szCs w:val="24"/>
                              </w:rPr>
                              <m:t>i</m:t>
                            </m:r>
                          </m:sub>
                        </m:sSub>
                      </m:num>
                      <m:den>
                        <m:sSub>
                          <m:sSubPr>
                            <m:ctrlPr>
                              <w:rPr>
                                <w:rFonts w:ascii="Times New Roman" w:eastAsia="Times New Roman" w:hAnsi="Times New Roman" w:cs="Times New Roman"/>
                                <w:sz w:val="24"/>
                                <w:szCs w:val="24"/>
                              </w:rPr>
                            </m:ctrlPr>
                          </m:sSubPr>
                          <m:e>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Σ</m:t>
                                </m:r>
                              </m:e>
                              <m:sub>
                                <m:r>
                                  <w:rPr>
                                    <w:rFonts w:ascii="Times New Roman" w:eastAsia="Times New Roman" w:hAnsi="Times New Roman" w:cs="Times New Roman"/>
                                    <w:sz w:val="24"/>
                                    <w:szCs w:val="24"/>
                                  </w:rPr>
                                  <m:t>i</m:t>
                                </m:r>
                              </m:sub>
                            </m:sSub>
                            <m:r>
                              <w:rPr>
                                <w:rFonts w:ascii="Times New Roman" w:eastAsia="Times New Roman" w:hAnsi="Times New Roman" w:cs="Times New Roman"/>
                                <w:sz w:val="24"/>
                                <w:szCs w:val="24"/>
                              </w:rPr>
                              <m:t>RRT</m:t>
                            </m:r>
                          </m:e>
                          <m:sub>
                            <m:r>
                              <w:rPr>
                                <w:rFonts w:ascii="Times New Roman" w:eastAsia="Times New Roman" w:hAnsi="Times New Roman" w:cs="Times New Roman"/>
                                <w:sz w:val="24"/>
                                <w:szCs w:val="24"/>
                              </w:rPr>
                              <m:t>i</m:t>
                            </m:r>
                          </m:sub>
                        </m:sSub>
                      </m:den>
                    </m:f>
                  </m:e>
                </m:d>
                <m:r>
                  <w:rPr>
                    <w:rFonts w:ascii="Times New Roman" w:eastAsia="Times New Roman" w:hAnsi="Times New Roman" w:cs="Times New Roman"/>
                    <w:sz w:val="24"/>
                    <w:szCs w:val="24"/>
                  </w:rPr>
                  <m:t>x 100</m:t>
                </m:r>
              </m:oMath>
            </m:oMathPara>
          </w:p>
          <w:p w14:paraId="3EE3C3E4" w14:textId="77777777" w:rsidR="00E35B30" w:rsidRPr="00BA784D" w:rsidRDefault="00E35B30">
            <w:pPr>
              <w:spacing w:line="360" w:lineRule="auto"/>
              <w:jc w:val="both"/>
              <w:rPr>
                <w:rFonts w:ascii="Times New Roman" w:eastAsia="Times New Roman" w:hAnsi="Times New Roman" w:cs="Times New Roman"/>
                <w:sz w:val="24"/>
                <w:szCs w:val="24"/>
              </w:rPr>
            </w:pPr>
          </w:p>
          <w:p w14:paraId="42DECD48"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Donde:</w:t>
            </w:r>
          </w:p>
          <w:p w14:paraId="7876199F" w14:textId="77777777" w:rsidR="00E35B30" w:rsidRPr="00BA784D" w:rsidRDefault="00E35B30">
            <w:pPr>
              <w:spacing w:line="360" w:lineRule="auto"/>
              <w:jc w:val="both"/>
              <w:rPr>
                <w:rFonts w:ascii="Times New Roman" w:eastAsia="Times New Roman" w:hAnsi="Times New Roman" w:cs="Times New Roman"/>
                <w:sz w:val="24"/>
                <w:szCs w:val="24"/>
              </w:rPr>
            </w:pPr>
          </w:p>
          <w:p w14:paraId="65C1DA20" w14:textId="59A19155" w:rsidR="00E35B30" w:rsidRPr="00BA784D" w:rsidRDefault="0027114E">
            <w:pPr>
              <w:spacing w:line="360" w:lineRule="auto"/>
              <w:jc w:val="both"/>
              <w:rPr>
                <w:rFonts w:ascii="Times New Roman" w:eastAsia="Times New Roman" w:hAnsi="Times New Roman" w:cs="Times New Roman"/>
                <w:sz w:val="24"/>
                <w:szCs w:val="24"/>
              </w:rPr>
            </w:pP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RRD</m:t>
                  </m:r>
                </m:e>
                <m:sub>
                  <m:r>
                    <w:rPr>
                      <w:rFonts w:ascii="Times New Roman" w:eastAsia="Times New Roman" w:hAnsi="Times New Roman" w:cs="Times New Roman"/>
                      <w:sz w:val="24"/>
                      <w:szCs w:val="24"/>
                    </w:rPr>
                    <m:t>i</m:t>
                  </m:r>
                </m:sub>
              </m:sSub>
            </m:oMath>
            <w:r w:rsidR="0036612A" w:rsidRPr="00BA784D">
              <w:rPr>
                <w:rFonts w:ascii="Times New Roman" w:eastAsia="Times New Roman" w:hAnsi="Times New Roman" w:cs="Times New Roman"/>
                <w:sz w:val="24"/>
                <w:szCs w:val="24"/>
              </w:rPr>
              <w:t>, se refiere al total de recursos de revisión desechados</w:t>
            </w:r>
            <w:r w:rsidR="00712BF6" w:rsidRPr="00BA784D">
              <w:rPr>
                <w:rFonts w:ascii="Times New Roman" w:eastAsia="Times New Roman" w:hAnsi="Times New Roman" w:cs="Times New Roman"/>
                <w:sz w:val="24"/>
                <w:szCs w:val="24"/>
              </w:rPr>
              <w:t xml:space="preserve"> en materia de acceso a la información</w:t>
            </w:r>
            <w:r w:rsidR="0036612A" w:rsidRPr="00BA784D">
              <w:rPr>
                <w:rFonts w:ascii="Times New Roman" w:eastAsia="Times New Roman" w:hAnsi="Times New Roman" w:cs="Times New Roman"/>
                <w:sz w:val="24"/>
                <w:szCs w:val="24"/>
              </w:rPr>
              <w:t xml:space="preserve"> por el Organismo Garante i durante el periodo.</w:t>
            </w:r>
          </w:p>
          <w:p w14:paraId="58D9F715" w14:textId="77777777" w:rsidR="00E35B30" w:rsidRPr="00BA784D" w:rsidRDefault="00E35B30">
            <w:pPr>
              <w:spacing w:line="360" w:lineRule="auto"/>
              <w:jc w:val="both"/>
              <w:rPr>
                <w:rFonts w:ascii="Times New Roman" w:eastAsia="Times New Roman" w:hAnsi="Times New Roman" w:cs="Times New Roman"/>
                <w:sz w:val="24"/>
                <w:szCs w:val="24"/>
              </w:rPr>
            </w:pPr>
          </w:p>
          <w:p w14:paraId="3CE8CB54" w14:textId="77777777" w:rsidR="00E35B30" w:rsidRPr="00BA784D" w:rsidRDefault="0027114E">
            <w:pPr>
              <w:spacing w:line="360" w:lineRule="auto"/>
              <w:jc w:val="both"/>
              <w:rPr>
                <w:rFonts w:ascii="Times New Roman" w:eastAsia="Times New Roman" w:hAnsi="Times New Roman" w:cs="Times New Roman"/>
                <w:sz w:val="24"/>
                <w:szCs w:val="24"/>
              </w:rPr>
            </w:pP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RRT</m:t>
                  </m:r>
                </m:e>
                <m:sub>
                  <m:r>
                    <w:rPr>
                      <w:rFonts w:ascii="Times New Roman" w:eastAsia="Times New Roman" w:hAnsi="Times New Roman" w:cs="Times New Roman"/>
                      <w:sz w:val="24"/>
                      <w:szCs w:val="24"/>
                    </w:rPr>
                    <m:t>i</m:t>
                  </m:r>
                </m:sub>
              </m:sSub>
            </m:oMath>
            <w:r w:rsidR="0036612A" w:rsidRPr="00BA784D">
              <w:rPr>
                <w:rFonts w:ascii="Times New Roman" w:eastAsia="Times New Roman" w:hAnsi="Times New Roman" w:cs="Times New Roman"/>
                <w:sz w:val="24"/>
                <w:szCs w:val="24"/>
              </w:rPr>
              <w:t>, se refiere al total de recursos de revisión recibidos por el Organismo Garante i durante el periodo.</w:t>
            </w:r>
          </w:p>
        </w:tc>
      </w:tr>
      <w:tr w:rsidR="00E35B30" w:rsidRPr="00BA784D" w14:paraId="1BB81CB1" w14:textId="77777777">
        <w:trPr>
          <w:trHeight w:val="397"/>
        </w:trPr>
        <w:tc>
          <w:tcPr>
            <w:tcW w:w="1969" w:type="dxa"/>
            <w:vAlign w:val="center"/>
          </w:tcPr>
          <w:p w14:paraId="5DA49E7E"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Periodicidad</w:t>
            </w:r>
          </w:p>
        </w:tc>
        <w:tc>
          <w:tcPr>
            <w:tcW w:w="6859" w:type="dxa"/>
            <w:vAlign w:val="center"/>
          </w:tcPr>
          <w:p w14:paraId="0F611D92"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Anual.</w:t>
            </w:r>
          </w:p>
        </w:tc>
      </w:tr>
      <w:tr w:rsidR="00E35B30" w:rsidRPr="00BA784D" w14:paraId="17597CF4" w14:textId="77777777">
        <w:trPr>
          <w:trHeight w:val="397"/>
        </w:trPr>
        <w:tc>
          <w:tcPr>
            <w:tcW w:w="1969" w:type="dxa"/>
            <w:vAlign w:val="center"/>
          </w:tcPr>
          <w:p w14:paraId="0131840D"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Medios de verificación</w:t>
            </w:r>
          </w:p>
        </w:tc>
        <w:tc>
          <w:tcPr>
            <w:tcW w:w="6859" w:type="dxa"/>
            <w:vAlign w:val="center"/>
          </w:tcPr>
          <w:p w14:paraId="5ECF648E" w14:textId="53B833C0" w:rsidR="00505E6F"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INEGI. Censo Nacional de Transparencia, Acceso a la Información Pública y Protección de Datos Personales</w:t>
            </w:r>
            <w:r w:rsidR="00505E6F" w:rsidRPr="00BA784D">
              <w:rPr>
                <w:rFonts w:ascii="Times New Roman" w:eastAsia="Times New Roman" w:hAnsi="Times New Roman" w:cs="Times New Roman"/>
                <w:sz w:val="24"/>
                <w:szCs w:val="24"/>
              </w:rPr>
              <w:t xml:space="preserve"> Federal</w:t>
            </w:r>
            <w:r w:rsidRPr="00BA784D">
              <w:rPr>
                <w:rFonts w:ascii="Times New Roman" w:eastAsia="Times New Roman" w:hAnsi="Times New Roman" w:cs="Times New Roman"/>
                <w:sz w:val="24"/>
                <w:szCs w:val="24"/>
              </w:rPr>
              <w:t xml:space="preserve"> (</w:t>
            </w:r>
            <w:r w:rsidR="00017507" w:rsidRPr="00BA784D">
              <w:rPr>
                <w:rFonts w:ascii="Times New Roman" w:eastAsia="Times New Roman" w:hAnsi="Times New Roman" w:cs="Times New Roman"/>
                <w:sz w:val="24"/>
                <w:szCs w:val="24"/>
              </w:rPr>
              <w:t>CNTAIPPDP</w:t>
            </w:r>
            <w:r w:rsidR="00505E6F" w:rsidRPr="00BA784D">
              <w:rPr>
                <w:rFonts w:ascii="Times New Roman" w:eastAsia="Times New Roman" w:hAnsi="Times New Roman" w:cs="Times New Roman"/>
                <w:sz w:val="24"/>
                <w:szCs w:val="24"/>
              </w:rPr>
              <w:t>F</w:t>
            </w:r>
            <w:r w:rsidRPr="00BA784D">
              <w:rPr>
                <w:rFonts w:ascii="Times New Roman" w:eastAsia="Times New Roman" w:hAnsi="Times New Roman" w:cs="Times New Roman"/>
                <w:sz w:val="24"/>
                <w:szCs w:val="24"/>
              </w:rPr>
              <w:t>).</w:t>
            </w:r>
          </w:p>
          <w:p w14:paraId="63A3A0B7" w14:textId="7A6B1167" w:rsidR="00E35B30" w:rsidRPr="00BA784D" w:rsidRDefault="00505E6F">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Censo Nacional de Transparencia, Acceso a la Información Pública y Protección de Datos Personales Estatal (CNTAIPPDPE). </w:t>
            </w:r>
            <w:r w:rsidR="00F51508" w:rsidRPr="00BA784D">
              <w:rPr>
                <w:rFonts w:ascii="Times New Roman" w:eastAsia="Times New Roman" w:hAnsi="Times New Roman" w:cs="Times New Roman"/>
                <w:sz w:val="24"/>
                <w:szCs w:val="24"/>
              </w:rPr>
              <w:t xml:space="preserve"> </w:t>
            </w:r>
          </w:p>
        </w:tc>
      </w:tr>
      <w:tr w:rsidR="00E35B30" w:rsidRPr="00BA784D" w14:paraId="1C8E31B6" w14:textId="77777777">
        <w:trPr>
          <w:trHeight w:val="397"/>
        </w:trPr>
        <w:tc>
          <w:tcPr>
            <w:tcW w:w="1969" w:type="dxa"/>
            <w:vAlign w:val="center"/>
          </w:tcPr>
          <w:p w14:paraId="5F1B4DDE"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Reactivos utilizados</w:t>
            </w:r>
          </w:p>
        </w:tc>
        <w:tc>
          <w:tcPr>
            <w:tcW w:w="6859" w:type="dxa"/>
            <w:vAlign w:val="center"/>
          </w:tcPr>
          <w:p w14:paraId="35872473"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Tabulado de Recursos de revisión recibidos por el Organismo Garante, por nivel de gobierno, entidad federativa y tipo de sujeto </w:t>
            </w:r>
            <w:r w:rsidRPr="00BA784D">
              <w:rPr>
                <w:rFonts w:ascii="Times New Roman" w:eastAsia="Times New Roman" w:hAnsi="Times New Roman" w:cs="Times New Roman"/>
                <w:sz w:val="24"/>
                <w:szCs w:val="24"/>
              </w:rPr>
              <w:lastRenderedPageBreak/>
              <w:t>obligado, según materia y estatus</w:t>
            </w:r>
          </w:p>
        </w:tc>
      </w:tr>
      <w:tr w:rsidR="00E35B30" w:rsidRPr="00BA784D" w14:paraId="0EE35197" w14:textId="77777777">
        <w:trPr>
          <w:trHeight w:val="397"/>
        </w:trPr>
        <w:tc>
          <w:tcPr>
            <w:tcW w:w="1969" w:type="dxa"/>
            <w:vAlign w:val="center"/>
          </w:tcPr>
          <w:p w14:paraId="1615D61B" w14:textId="77777777" w:rsidR="00E35B30" w:rsidRPr="00BA784D" w:rsidRDefault="0036612A">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lastRenderedPageBreak/>
              <w:t>Actores vinculados con el indicador</w:t>
            </w:r>
          </w:p>
        </w:tc>
        <w:tc>
          <w:tcPr>
            <w:tcW w:w="6859" w:type="dxa"/>
            <w:vAlign w:val="center"/>
          </w:tcPr>
          <w:p w14:paraId="5EC38C1E"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Organismos Garantes.</w:t>
            </w:r>
          </w:p>
        </w:tc>
      </w:tr>
      <w:tr w:rsidR="00640466" w:rsidRPr="00BA784D" w14:paraId="6B5C895B" w14:textId="77777777">
        <w:trPr>
          <w:trHeight w:val="397"/>
        </w:trPr>
        <w:tc>
          <w:tcPr>
            <w:tcW w:w="1969" w:type="dxa"/>
            <w:vAlign w:val="center"/>
          </w:tcPr>
          <w:p w14:paraId="41BDB68B" w14:textId="5CA6325A" w:rsidR="00640466" w:rsidRPr="00BA784D" w:rsidRDefault="00640466"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Línea base (CNTAIPPDPF y CNTAIPPDPE 2020)</w:t>
            </w:r>
          </w:p>
        </w:tc>
        <w:tc>
          <w:tcPr>
            <w:tcW w:w="6859" w:type="dxa"/>
            <w:vAlign w:val="center"/>
          </w:tcPr>
          <w:p w14:paraId="523BD5CD" w14:textId="77777777" w:rsidR="00FD4F8F" w:rsidRDefault="00640466" w:rsidP="00640466">
            <w:pPr>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18.51% </w:t>
            </w:r>
            <w:r w:rsidRPr="00BA784D">
              <w:rPr>
                <w:rFonts w:ascii="Times New Roman" w:eastAsia="Times New Roman" w:hAnsi="Times New Roman" w:cs="Times New Roman"/>
                <w:sz w:val="24"/>
                <w:szCs w:val="24"/>
              </w:rPr>
              <w:br/>
            </w:r>
          </w:p>
          <w:p w14:paraId="299D0482" w14:textId="07C2AB8C" w:rsidR="00FD4F8F" w:rsidRDefault="0027114E" w:rsidP="00640466">
            <w:pPr>
              <w:rPr>
                <w:rFonts w:ascii="Times New Roman" w:eastAsia="Times New Roman" w:hAnsi="Times New Roman" w:cs="Times New Roman"/>
                <w:sz w:val="24"/>
                <w:szCs w:val="24"/>
              </w:rPr>
            </w:pPr>
            <w:hyperlink r:id="rId39" w:history="1">
              <w:r w:rsidR="00FD4F8F" w:rsidRPr="00FD4F8F">
                <w:rPr>
                  <w:rStyle w:val="Hipervnculo"/>
                  <w:rFonts w:ascii="Times New Roman" w:eastAsia="Times New Roman" w:hAnsi="Times New Roman" w:cs="Times New Roman"/>
                  <w:sz w:val="24"/>
                  <w:szCs w:val="24"/>
                </w:rPr>
                <w:t>https://www.inegi.org.mx/programas/cntaippdpf/2020/</w:t>
              </w:r>
            </w:hyperlink>
            <w:r w:rsidR="00FD4F8F" w:rsidRPr="00BA784D">
              <w:rPr>
                <w:rFonts w:ascii="Times New Roman" w:eastAsia="Times New Roman" w:hAnsi="Times New Roman" w:cs="Times New Roman"/>
                <w:sz w:val="24"/>
                <w:szCs w:val="24"/>
              </w:rPr>
              <w:t xml:space="preserve"> y </w:t>
            </w:r>
          </w:p>
          <w:p w14:paraId="2610BE2D" w14:textId="30683A9A" w:rsidR="00640466" w:rsidRPr="00BA784D" w:rsidRDefault="0027114E" w:rsidP="00640466">
            <w:pPr>
              <w:rPr>
                <w:rFonts w:ascii="Times New Roman" w:eastAsia="Times New Roman" w:hAnsi="Times New Roman" w:cs="Times New Roman"/>
                <w:sz w:val="24"/>
                <w:szCs w:val="24"/>
              </w:rPr>
            </w:pPr>
            <w:hyperlink r:id="rId40" w:history="1">
              <w:r w:rsidR="00FD4F8F" w:rsidRPr="00FD4F8F">
                <w:rPr>
                  <w:rStyle w:val="Hipervnculo"/>
                  <w:rFonts w:ascii="Times New Roman" w:eastAsia="Times New Roman" w:hAnsi="Times New Roman" w:cs="Times New Roman"/>
                  <w:sz w:val="24"/>
                  <w:szCs w:val="24"/>
                </w:rPr>
                <w:t>https://www.inegi.org.mx/programas/cntaippdpe/2020/</w:t>
              </w:r>
            </w:hyperlink>
          </w:p>
        </w:tc>
      </w:tr>
      <w:tr w:rsidR="00640466" w:rsidRPr="00BA784D" w14:paraId="5742BA2B" w14:textId="77777777">
        <w:trPr>
          <w:trHeight w:val="397"/>
        </w:trPr>
        <w:tc>
          <w:tcPr>
            <w:tcW w:w="1969" w:type="dxa"/>
            <w:vAlign w:val="center"/>
          </w:tcPr>
          <w:p w14:paraId="580E4D10" w14:textId="5BD42488" w:rsidR="00640466" w:rsidRPr="00BA784D" w:rsidRDefault="00640466"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2022 (CNTAIPPDPF y CNTAIPPDPE 2023)</w:t>
            </w:r>
          </w:p>
        </w:tc>
        <w:tc>
          <w:tcPr>
            <w:tcW w:w="6859" w:type="dxa"/>
            <w:vAlign w:val="center"/>
          </w:tcPr>
          <w:p w14:paraId="37AF32F5" w14:textId="77777777" w:rsidR="00640466" w:rsidRPr="00BA784D" w:rsidRDefault="00640466"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color w:val="000000"/>
                <w:sz w:val="24"/>
                <w:szCs w:val="24"/>
              </w:rPr>
              <w:t>13.39%</w:t>
            </w:r>
          </w:p>
        </w:tc>
      </w:tr>
      <w:tr w:rsidR="00640466" w:rsidRPr="00BA784D" w14:paraId="2ECCCFFF" w14:textId="77777777">
        <w:trPr>
          <w:trHeight w:val="397"/>
        </w:trPr>
        <w:tc>
          <w:tcPr>
            <w:tcW w:w="1969" w:type="dxa"/>
            <w:vAlign w:val="center"/>
          </w:tcPr>
          <w:p w14:paraId="35ECE34E" w14:textId="748A65A5" w:rsidR="00640466" w:rsidRPr="00BA784D" w:rsidRDefault="00640466"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2023 (CNTAIPPDPF y CNTAIPPDPE 2024)</w:t>
            </w:r>
          </w:p>
        </w:tc>
        <w:tc>
          <w:tcPr>
            <w:tcW w:w="6859" w:type="dxa"/>
            <w:vAlign w:val="center"/>
          </w:tcPr>
          <w:p w14:paraId="5BD8FF73" w14:textId="77777777" w:rsidR="00640466" w:rsidRPr="00BA784D" w:rsidRDefault="00640466"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10.83%</w:t>
            </w:r>
          </w:p>
        </w:tc>
      </w:tr>
      <w:tr w:rsidR="00640466" w:rsidRPr="00BA784D" w14:paraId="47A405F4" w14:textId="77777777">
        <w:trPr>
          <w:trHeight w:val="397"/>
        </w:trPr>
        <w:tc>
          <w:tcPr>
            <w:tcW w:w="1969" w:type="dxa"/>
            <w:vAlign w:val="center"/>
          </w:tcPr>
          <w:p w14:paraId="02542EBA" w14:textId="7C6A6EE3" w:rsidR="00640466" w:rsidRPr="00BA784D" w:rsidRDefault="00640466"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2024 (CNTAIPPDPF y CNTAIPPDPE 2025)</w:t>
            </w:r>
          </w:p>
        </w:tc>
        <w:tc>
          <w:tcPr>
            <w:tcW w:w="6859" w:type="dxa"/>
            <w:vAlign w:val="center"/>
          </w:tcPr>
          <w:p w14:paraId="729134D0" w14:textId="150C420D" w:rsidR="006F755F" w:rsidRPr="00BA784D" w:rsidRDefault="00640466"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9.55%</w:t>
            </w:r>
          </w:p>
          <w:p w14:paraId="3ECAF73C" w14:textId="77777777" w:rsidR="006F755F" w:rsidRPr="00BA784D" w:rsidRDefault="006F755F" w:rsidP="006F755F">
            <w:pPr>
              <w:rPr>
                <w:rFonts w:ascii="Times New Roman" w:eastAsia="Times New Roman" w:hAnsi="Times New Roman" w:cs="Times New Roman"/>
                <w:sz w:val="24"/>
                <w:szCs w:val="24"/>
              </w:rPr>
            </w:pPr>
          </w:p>
          <w:p w14:paraId="124EA8E5" w14:textId="0B7B8C32" w:rsidR="006F755F" w:rsidRPr="00BA784D" w:rsidRDefault="006F755F" w:rsidP="006F755F">
            <w:pPr>
              <w:rPr>
                <w:rFonts w:ascii="Times New Roman" w:eastAsia="Times New Roman" w:hAnsi="Times New Roman" w:cs="Times New Roman"/>
                <w:sz w:val="24"/>
                <w:szCs w:val="24"/>
              </w:rPr>
            </w:pPr>
          </w:p>
          <w:p w14:paraId="1DBE1403" w14:textId="20127342" w:rsidR="006F755F" w:rsidRPr="00BA784D" w:rsidRDefault="006F755F" w:rsidP="006F755F">
            <w:pPr>
              <w:rPr>
                <w:rFonts w:ascii="Times New Roman" w:eastAsia="Times New Roman" w:hAnsi="Times New Roman" w:cs="Times New Roman"/>
                <w:sz w:val="24"/>
                <w:szCs w:val="24"/>
              </w:rPr>
            </w:pPr>
          </w:p>
          <w:p w14:paraId="7EDC7F58" w14:textId="77777777" w:rsidR="00640466" w:rsidRPr="00BA784D" w:rsidRDefault="00640466" w:rsidP="006F755F">
            <w:pPr>
              <w:rPr>
                <w:rFonts w:ascii="Times New Roman" w:eastAsia="Times New Roman" w:hAnsi="Times New Roman" w:cs="Times New Roman"/>
                <w:sz w:val="24"/>
                <w:szCs w:val="24"/>
              </w:rPr>
            </w:pPr>
          </w:p>
        </w:tc>
      </w:tr>
      <w:tr w:rsidR="00110E78" w:rsidRPr="00BA784D" w14:paraId="2C891208" w14:textId="77777777">
        <w:trPr>
          <w:trHeight w:val="397"/>
        </w:trPr>
        <w:tc>
          <w:tcPr>
            <w:tcW w:w="1969" w:type="dxa"/>
            <w:vAlign w:val="center"/>
          </w:tcPr>
          <w:p w14:paraId="167920AE" w14:textId="4DD25189" w:rsidR="00110E78" w:rsidRPr="00BA784D" w:rsidRDefault="00110E78"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2025 (CNTAIPPDPF y CNTAIPPDPE 2026)</w:t>
            </w:r>
          </w:p>
        </w:tc>
        <w:tc>
          <w:tcPr>
            <w:tcW w:w="6859" w:type="dxa"/>
            <w:vAlign w:val="center"/>
          </w:tcPr>
          <w:p w14:paraId="3FE76E8E" w14:textId="20779A7C" w:rsidR="00110E78" w:rsidRPr="00BA784D" w:rsidRDefault="00293925"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8.27%</w:t>
            </w:r>
          </w:p>
        </w:tc>
      </w:tr>
      <w:tr w:rsidR="00110E78" w:rsidRPr="00BA784D" w14:paraId="37879F56" w14:textId="77777777" w:rsidTr="006F755F">
        <w:trPr>
          <w:trHeight w:val="397"/>
        </w:trPr>
        <w:tc>
          <w:tcPr>
            <w:tcW w:w="1969" w:type="dxa"/>
            <w:vAlign w:val="center"/>
          </w:tcPr>
          <w:p w14:paraId="1523E461" w14:textId="209C5EF9" w:rsidR="00110E78" w:rsidRPr="00BA784D" w:rsidRDefault="00110E78"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 xml:space="preserve">Meta 2026 (CNTAIPPDPF </w:t>
            </w:r>
            <w:r w:rsidRPr="00BA784D">
              <w:rPr>
                <w:rFonts w:ascii="Times New Roman" w:eastAsia="Times New Roman" w:hAnsi="Times New Roman" w:cs="Times New Roman"/>
                <w:smallCaps/>
                <w:sz w:val="24"/>
                <w:szCs w:val="24"/>
              </w:rPr>
              <w:lastRenderedPageBreak/>
              <w:t>y CNTAIPPDPE 2027)</w:t>
            </w:r>
          </w:p>
        </w:tc>
        <w:tc>
          <w:tcPr>
            <w:tcW w:w="6859" w:type="dxa"/>
            <w:vAlign w:val="center"/>
          </w:tcPr>
          <w:p w14:paraId="1CFD2BD7" w14:textId="6094773B" w:rsidR="00110E78" w:rsidRPr="00BA784D" w:rsidRDefault="00293925" w:rsidP="006F755F">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6.99%</w:t>
            </w:r>
          </w:p>
        </w:tc>
      </w:tr>
      <w:tr w:rsidR="00FC2A4F" w:rsidRPr="00BA784D" w14:paraId="6B5D230A" w14:textId="77777777">
        <w:trPr>
          <w:trHeight w:val="397"/>
        </w:trPr>
        <w:tc>
          <w:tcPr>
            <w:tcW w:w="1969" w:type="dxa"/>
            <w:vAlign w:val="center"/>
          </w:tcPr>
          <w:p w14:paraId="4607091F" w14:textId="660FF354" w:rsidR="00FC2A4F" w:rsidRPr="00BA784D" w:rsidRDefault="00FC2A4F" w:rsidP="00FC2A4F">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comportamiento esperado</w:t>
            </w:r>
          </w:p>
        </w:tc>
        <w:tc>
          <w:tcPr>
            <w:tcW w:w="6859" w:type="dxa"/>
            <w:vAlign w:val="center"/>
          </w:tcPr>
          <w:p w14:paraId="16F5B63E" w14:textId="1A2CF5B9" w:rsidR="00FC2A4F" w:rsidRPr="00BA784D" w:rsidRDefault="0089608F" w:rsidP="00FC2A4F">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Descendente </w:t>
            </w:r>
          </w:p>
        </w:tc>
      </w:tr>
    </w:tbl>
    <w:p w14:paraId="7A852BE4" w14:textId="77777777" w:rsidR="00E35B30" w:rsidRPr="00BA784D" w:rsidRDefault="0036612A">
      <w:pPr>
        <w:spacing w:line="360" w:lineRule="auto"/>
        <w:rPr>
          <w:rFonts w:ascii="Times New Roman" w:eastAsia="Times New Roman" w:hAnsi="Times New Roman" w:cs="Times New Roman"/>
          <w:sz w:val="24"/>
          <w:szCs w:val="24"/>
        </w:rPr>
      </w:pPr>
      <w:r w:rsidRPr="00BA784D">
        <w:br w:type="page"/>
      </w:r>
    </w:p>
    <w:tbl>
      <w:tblPr>
        <w:tblStyle w:val="3"/>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8"/>
        <w:gridCol w:w="3429"/>
        <w:gridCol w:w="3431"/>
      </w:tblGrid>
      <w:tr w:rsidR="00E35B30" w:rsidRPr="00BA784D" w14:paraId="13E90658" w14:textId="77777777">
        <w:trPr>
          <w:trHeight w:val="410"/>
        </w:trPr>
        <w:tc>
          <w:tcPr>
            <w:tcW w:w="8828" w:type="dxa"/>
            <w:gridSpan w:val="3"/>
          </w:tcPr>
          <w:p w14:paraId="61F1CA41" w14:textId="063EAFA2" w:rsidR="00E35B30" w:rsidRPr="00BA784D" w:rsidRDefault="0036612A">
            <w:pPr>
              <w:pStyle w:val="Ttulo4"/>
              <w:spacing w:line="360" w:lineRule="auto"/>
              <w:ind w:firstLine="100"/>
              <w:jc w:val="both"/>
              <w:rPr>
                <w:rFonts w:ascii="Times New Roman" w:eastAsia="Times New Roman" w:hAnsi="Times New Roman" w:cs="Times New Roman"/>
                <w:b w:val="0"/>
                <w:bCs w:val="0"/>
              </w:rPr>
            </w:pPr>
            <w:bookmarkStart w:id="63" w:name="_Toc102051255"/>
            <w:r w:rsidRPr="00BA784D">
              <w:rPr>
                <w:rFonts w:ascii="Times New Roman" w:eastAsia="Times New Roman" w:hAnsi="Times New Roman" w:cs="Times New Roman"/>
              </w:rPr>
              <w:lastRenderedPageBreak/>
              <w:t xml:space="preserve">FICHA INDICADOR TRANSVERSAL A.1 </w:t>
            </w:r>
            <w:r w:rsidR="00C35042" w:rsidRPr="00BA784D">
              <w:rPr>
                <w:rFonts w:ascii="Times New Roman" w:eastAsia="Times New Roman" w:hAnsi="Times New Roman" w:cs="Times New Roman"/>
              </w:rPr>
              <w:t xml:space="preserve">Promedio </w:t>
            </w:r>
            <w:r w:rsidRPr="00BA784D">
              <w:rPr>
                <w:rFonts w:ascii="Times New Roman" w:eastAsia="Times New Roman" w:hAnsi="Times New Roman" w:cs="Times New Roman"/>
              </w:rPr>
              <w:t>de acciones reportadas en el CNTAI</w:t>
            </w:r>
            <w:r w:rsidR="00602130" w:rsidRPr="00BA784D">
              <w:rPr>
                <w:rFonts w:ascii="Times New Roman" w:eastAsia="Times New Roman" w:hAnsi="Times New Roman" w:cs="Times New Roman"/>
              </w:rPr>
              <w:t>PPDP</w:t>
            </w:r>
            <w:r w:rsidRPr="00BA784D">
              <w:rPr>
                <w:rFonts w:ascii="Times New Roman" w:eastAsia="Times New Roman" w:hAnsi="Times New Roman" w:cs="Times New Roman"/>
              </w:rPr>
              <w:t xml:space="preserve"> por los Organismos Garantes como realizadas en materia de promoción y difusión del DAI.</w:t>
            </w:r>
            <w:bookmarkEnd w:id="63"/>
          </w:p>
        </w:tc>
      </w:tr>
      <w:tr w:rsidR="00E35B30" w:rsidRPr="00BA784D" w14:paraId="7E7E9DD0" w14:textId="77777777">
        <w:trPr>
          <w:trHeight w:val="397"/>
        </w:trPr>
        <w:tc>
          <w:tcPr>
            <w:tcW w:w="1968" w:type="dxa"/>
            <w:shd w:val="clear" w:color="auto" w:fill="767171"/>
            <w:vAlign w:val="center"/>
          </w:tcPr>
          <w:p w14:paraId="6DA51291"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color w:val="FFFFFF"/>
                <w:sz w:val="24"/>
                <w:szCs w:val="24"/>
              </w:rPr>
              <w:t>ELEMENTO</w:t>
            </w:r>
          </w:p>
        </w:tc>
        <w:tc>
          <w:tcPr>
            <w:tcW w:w="6860" w:type="dxa"/>
            <w:gridSpan w:val="2"/>
            <w:shd w:val="clear" w:color="auto" w:fill="767171"/>
            <w:vAlign w:val="center"/>
          </w:tcPr>
          <w:p w14:paraId="70C63225" w14:textId="77777777" w:rsidR="00E35B30" w:rsidRPr="00BA784D" w:rsidRDefault="0036612A">
            <w:pPr>
              <w:spacing w:line="360" w:lineRule="auto"/>
              <w:jc w:val="center"/>
              <w:rPr>
                <w:rFonts w:ascii="Times New Roman" w:eastAsia="Times New Roman" w:hAnsi="Times New Roman" w:cs="Times New Roman"/>
                <w:color w:val="FFFFFF"/>
                <w:sz w:val="24"/>
                <w:szCs w:val="24"/>
              </w:rPr>
            </w:pPr>
            <w:r w:rsidRPr="00BA784D">
              <w:rPr>
                <w:rFonts w:ascii="Times New Roman" w:eastAsia="Times New Roman" w:hAnsi="Times New Roman" w:cs="Times New Roman"/>
                <w:b/>
                <w:color w:val="FFFFFF"/>
                <w:sz w:val="24"/>
                <w:szCs w:val="24"/>
              </w:rPr>
              <w:t>CARACTERÍSTICA</w:t>
            </w:r>
          </w:p>
        </w:tc>
      </w:tr>
      <w:tr w:rsidR="00E35B30" w:rsidRPr="00BA784D" w14:paraId="150C591B" w14:textId="77777777">
        <w:trPr>
          <w:trHeight w:val="397"/>
        </w:trPr>
        <w:tc>
          <w:tcPr>
            <w:tcW w:w="1968" w:type="dxa"/>
            <w:vAlign w:val="center"/>
          </w:tcPr>
          <w:p w14:paraId="5A7935D0" w14:textId="77777777" w:rsidR="00E35B30" w:rsidRPr="00BA784D" w:rsidRDefault="0036612A">
            <w:pPr>
              <w:spacing w:line="360" w:lineRule="auto"/>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Eje</w:t>
            </w:r>
          </w:p>
        </w:tc>
        <w:tc>
          <w:tcPr>
            <w:tcW w:w="6860" w:type="dxa"/>
            <w:gridSpan w:val="2"/>
            <w:vAlign w:val="center"/>
          </w:tcPr>
          <w:p w14:paraId="77125323"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 Promoción, Difusión y Fomento de la Cultura de Transparencia y Acceso a la Información.</w:t>
            </w:r>
          </w:p>
        </w:tc>
      </w:tr>
      <w:tr w:rsidR="00E35B30" w:rsidRPr="00BA784D" w14:paraId="3FC23E84" w14:textId="77777777">
        <w:trPr>
          <w:trHeight w:val="397"/>
        </w:trPr>
        <w:tc>
          <w:tcPr>
            <w:tcW w:w="1968" w:type="dxa"/>
          </w:tcPr>
          <w:p w14:paraId="15C33029"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Objetivo</w:t>
            </w:r>
          </w:p>
        </w:tc>
        <w:tc>
          <w:tcPr>
            <w:tcW w:w="6860" w:type="dxa"/>
            <w:gridSpan w:val="2"/>
          </w:tcPr>
          <w:p w14:paraId="7C1B5614"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A.1. Articular desde el SNT de manera conjunta la promoción y difusión de la transparencia y el acceso a la información.</w:t>
            </w:r>
          </w:p>
        </w:tc>
      </w:tr>
      <w:tr w:rsidR="00E35B30" w:rsidRPr="00BA784D" w14:paraId="3B58FBAD" w14:textId="77777777">
        <w:trPr>
          <w:trHeight w:val="397"/>
        </w:trPr>
        <w:tc>
          <w:tcPr>
            <w:tcW w:w="1968" w:type="dxa"/>
          </w:tcPr>
          <w:p w14:paraId="19E53488"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Descripción general</w:t>
            </w:r>
          </w:p>
        </w:tc>
        <w:tc>
          <w:tcPr>
            <w:tcW w:w="6860" w:type="dxa"/>
            <w:gridSpan w:val="2"/>
          </w:tcPr>
          <w:p w14:paraId="091D1270"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Medir la diversidad en la realización de actividades y acciones por parte de los Organismos Garantes, dirigidas al público para promover el derecho de acceso a la información.</w:t>
            </w:r>
          </w:p>
        </w:tc>
      </w:tr>
      <w:tr w:rsidR="00E35B30" w:rsidRPr="00BA784D" w14:paraId="7030518A" w14:textId="77777777">
        <w:trPr>
          <w:trHeight w:val="397"/>
        </w:trPr>
        <w:tc>
          <w:tcPr>
            <w:tcW w:w="1968" w:type="dxa"/>
          </w:tcPr>
          <w:p w14:paraId="5FBBDD09"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Método de cálculo</w:t>
            </w:r>
          </w:p>
        </w:tc>
        <w:tc>
          <w:tcPr>
            <w:tcW w:w="6860" w:type="dxa"/>
            <w:gridSpan w:val="2"/>
          </w:tcPr>
          <w:p w14:paraId="3255E6C8" w14:textId="193B0937" w:rsidR="00FD4F8F" w:rsidRDefault="0027114E">
            <w:pPr>
              <w:spacing w:line="360" w:lineRule="auto"/>
              <w:rPr>
                <w:rFonts w:ascii="Times New Roman" w:eastAsia="Times New Roman" w:hAnsi="Times New Roman" w:cs="Times New Roman"/>
                <w:sz w:val="24"/>
                <w:szCs w:val="24"/>
              </w:rPr>
            </w:pPr>
            <m:oMathPara>
              <m:oMath>
                <m:d>
                  <m:dPr>
                    <m:ctrlPr>
                      <w:rPr>
                        <w:rFonts w:ascii="Cambria Math" w:hAnsi="Cambria Math"/>
                      </w:rPr>
                    </m:ctrlPr>
                  </m:dPr>
                  <m:e>
                    <m:f>
                      <m:fPr>
                        <m:ctrlPr>
                          <w:rPr>
                            <w:rFonts w:ascii="Cambria Math" w:eastAsia="Times New Roman" w:hAnsi="Cambria Math" w:cs="Times New Roman"/>
                            <w:color w:val="000000"/>
                            <w:sz w:val="24"/>
                            <w:szCs w:val="24"/>
                          </w:rPr>
                        </m:ctrlPr>
                      </m:fPr>
                      <m:num>
                        <m:sSub>
                          <m:sSubPr>
                            <m:ctrlPr>
                              <w:rPr>
                                <w:rFonts w:ascii="Cambria Math" w:eastAsia="Times New Roman" w:hAnsi="Cambria Math" w:cs="Times New Roman"/>
                                <w:color w:val="000000"/>
                                <w:sz w:val="24"/>
                                <w:szCs w:val="24"/>
                              </w:rPr>
                            </m:ctrlPr>
                          </m:sSubPr>
                          <m:e>
                            <m:r>
                              <w:rPr>
                                <w:rFonts w:ascii="Cambria Math" w:hAnsi="Cambria Math"/>
                              </w:rPr>
                              <m:t>Σ</m:t>
                            </m:r>
                          </m:e>
                          <m:sub>
                            <m:r>
                              <w:rPr>
                                <w:rFonts w:ascii="Cambria Math" w:eastAsia="Times New Roman" w:hAnsi="Cambria Math" w:cs="Times New Roman"/>
                                <w:color w:val="000000"/>
                                <w:sz w:val="24"/>
                                <w:szCs w:val="24"/>
                              </w:rPr>
                              <m:t>i</m:t>
                            </m:r>
                          </m:sub>
                        </m:sSub>
                        <m:sSub>
                          <m:sSubPr>
                            <m:ctrlPr>
                              <w:rPr>
                                <w:rFonts w:ascii="Cambria Math" w:eastAsia="Times New Roman" w:hAnsi="Cambria Math" w:cs="Times New Roman"/>
                                <w:color w:val="000000"/>
                                <w:sz w:val="24"/>
                                <w:szCs w:val="24"/>
                              </w:rPr>
                            </m:ctrlPr>
                          </m:sSubPr>
                          <m:e>
                            <m:r>
                              <w:rPr>
                                <w:rFonts w:ascii="Cambria Math" w:eastAsia="Times New Roman" w:hAnsi="Cambria Math" w:cs="Times New Roman"/>
                                <w:color w:val="000000"/>
                                <w:sz w:val="24"/>
                                <w:szCs w:val="24"/>
                              </w:rPr>
                              <m:t>AccCT</m:t>
                            </m:r>
                          </m:e>
                          <m:sub>
                            <m:r>
                              <w:rPr>
                                <w:rFonts w:ascii="Cambria Math" w:eastAsia="Times New Roman" w:hAnsi="Cambria Math" w:cs="Times New Roman"/>
                                <w:color w:val="000000"/>
                                <w:sz w:val="24"/>
                                <w:szCs w:val="24"/>
                              </w:rPr>
                              <m:t>i</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color w:val="000000"/>
                                <w:sz w:val="24"/>
                                <w:szCs w:val="24"/>
                              </w:rPr>
                            </m:ctrlPr>
                          </m:sSubPr>
                          <m:e>
                            <m:r>
                              <w:rPr>
                                <w:rFonts w:ascii="Cambria Math" w:eastAsia="Times New Roman" w:hAnsi="Cambria Math" w:cs="Times New Roman"/>
                                <w:color w:val="000000"/>
                                <w:sz w:val="24"/>
                                <w:szCs w:val="24"/>
                              </w:rPr>
                              <m:t>Σ</m:t>
                            </m:r>
                          </m:e>
                          <m:sub>
                            <m:r>
                              <w:rPr>
                                <w:rFonts w:ascii="Cambria Math" w:eastAsia="Times New Roman" w:hAnsi="Cambria Math" w:cs="Times New Roman"/>
                                <w:color w:val="000000"/>
                                <w:sz w:val="24"/>
                                <w:szCs w:val="24"/>
                              </w:rPr>
                              <m:t>i</m:t>
                            </m:r>
                          </m:sub>
                        </m:sSub>
                        <m:sSub>
                          <m:sSubPr>
                            <m:ctrlPr>
                              <w:rPr>
                                <w:rFonts w:ascii="Cambria Math" w:eastAsia="Times New Roman" w:hAnsi="Cambria Math" w:cs="Times New Roman"/>
                                <w:color w:val="000000"/>
                                <w:sz w:val="24"/>
                                <w:szCs w:val="24"/>
                              </w:rPr>
                            </m:ctrlPr>
                          </m:sSubPr>
                          <m:e>
                            <m:r>
                              <w:rPr>
                                <w:rFonts w:ascii="Cambria Math" w:eastAsia="Times New Roman" w:hAnsi="Cambria Math" w:cs="Times New Roman"/>
                                <w:color w:val="000000"/>
                                <w:sz w:val="24"/>
                                <w:szCs w:val="24"/>
                              </w:rPr>
                              <m:t>EvPub</m:t>
                            </m:r>
                          </m:e>
                          <m:sub>
                            <m:r>
                              <w:rPr>
                                <w:rFonts w:ascii="Cambria Math" w:eastAsia="Times New Roman" w:hAnsi="Cambria Math" w:cs="Times New Roman"/>
                                <w:color w:val="000000"/>
                                <w:sz w:val="24"/>
                                <w:szCs w:val="24"/>
                              </w:rPr>
                              <m:t>i</m:t>
                            </m:r>
                          </m:sub>
                        </m:sSub>
                      </m:num>
                      <m:den>
                        <m:r>
                          <w:rPr>
                            <w:rFonts w:ascii="Cambria Math" w:eastAsia="Times New Roman" w:hAnsi="Cambria Math" w:cs="Times New Roman"/>
                            <w:color w:val="000000"/>
                            <w:sz w:val="24"/>
                            <w:szCs w:val="24"/>
                          </w:rPr>
                          <m:t>33</m:t>
                        </m:r>
                      </m:den>
                    </m:f>
                  </m:e>
                </m:d>
              </m:oMath>
            </m:oMathPara>
          </w:p>
          <w:p w14:paraId="5A9ECD69" w14:textId="77777777" w:rsidR="00FD4F8F" w:rsidRPr="00BA784D" w:rsidRDefault="00FD4F8F">
            <w:pPr>
              <w:spacing w:line="360" w:lineRule="auto"/>
              <w:rPr>
                <w:rFonts w:ascii="Times New Roman" w:eastAsia="Times New Roman" w:hAnsi="Times New Roman" w:cs="Times New Roman"/>
                <w:sz w:val="24"/>
                <w:szCs w:val="24"/>
              </w:rPr>
            </w:pPr>
          </w:p>
          <w:p w14:paraId="71ECEAFC"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Donde:</w:t>
            </w:r>
          </w:p>
          <w:p w14:paraId="28FFACBA" w14:textId="77777777" w:rsidR="00E35B30" w:rsidRPr="00BA784D" w:rsidRDefault="00E35B30">
            <w:pPr>
              <w:spacing w:line="360" w:lineRule="auto"/>
              <w:rPr>
                <w:rFonts w:ascii="Times New Roman" w:eastAsia="Times New Roman" w:hAnsi="Times New Roman" w:cs="Times New Roman"/>
                <w:sz w:val="24"/>
                <w:szCs w:val="24"/>
              </w:rPr>
            </w:pPr>
          </w:p>
          <w:p w14:paraId="739213B0" w14:textId="77777777" w:rsidR="00E35B30" w:rsidRPr="00BA784D" w:rsidRDefault="0027114E">
            <w:pPr>
              <w:spacing w:line="360" w:lineRule="auto"/>
              <w:rPr>
                <w:rFonts w:ascii="Times New Roman" w:eastAsia="Times New Roman" w:hAnsi="Times New Roman" w:cs="Times New Roman"/>
                <w:sz w:val="24"/>
                <w:szCs w:val="24"/>
              </w:rPr>
            </w:pP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AccCT</m:t>
                  </m:r>
                </m:e>
                <m:sub>
                  <m:r>
                    <w:rPr>
                      <w:rFonts w:ascii="Times New Roman" w:eastAsia="Times New Roman" w:hAnsi="Times New Roman" w:cs="Times New Roman"/>
                      <w:sz w:val="24"/>
                      <w:szCs w:val="24"/>
                    </w:rPr>
                    <m:t>i</m:t>
                  </m:r>
                </m:sub>
              </m:sSub>
            </m:oMath>
            <w:r w:rsidR="0036612A" w:rsidRPr="00BA784D">
              <w:rPr>
                <w:rFonts w:ascii="Times New Roman" w:eastAsia="Times New Roman" w:hAnsi="Times New Roman" w:cs="Times New Roman"/>
                <w:sz w:val="24"/>
                <w:szCs w:val="24"/>
              </w:rPr>
              <w:t xml:space="preserve">, se refiere al número de acciones promovidas por el Organismos Garante </w:t>
            </w:r>
            <w:r w:rsidR="0036612A" w:rsidRPr="00BA784D">
              <w:rPr>
                <w:rFonts w:ascii="Times New Roman" w:eastAsia="Times New Roman" w:hAnsi="Times New Roman" w:cs="Times New Roman"/>
                <w:i/>
                <w:sz w:val="24"/>
                <w:szCs w:val="24"/>
              </w:rPr>
              <w:t xml:space="preserve">i </w:t>
            </w:r>
            <w:r w:rsidR="0036612A" w:rsidRPr="00BA784D">
              <w:rPr>
                <w:rFonts w:ascii="Times New Roman" w:eastAsia="Times New Roman" w:hAnsi="Times New Roman" w:cs="Times New Roman"/>
                <w:sz w:val="24"/>
                <w:szCs w:val="24"/>
              </w:rPr>
              <w:t>para la creación de una cultura de la transparencia y acceso a la información:</w:t>
            </w:r>
          </w:p>
          <w:p w14:paraId="460A4903" w14:textId="77777777" w:rsidR="00E35B30" w:rsidRPr="00BA784D" w:rsidRDefault="00E35B30">
            <w:pPr>
              <w:spacing w:line="360" w:lineRule="auto"/>
              <w:rPr>
                <w:rFonts w:ascii="Times New Roman" w:eastAsia="Times New Roman" w:hAnsi="Times New Roman" w:cs="Times New Roman"/>
                <w:sz w:val="24"/>
                <w:szCs w:val="24"/>
              </w:rPr>
            </w:pPr>
          </w:p>
          <w:p w14:paraId="139FDE85"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Promover entre las autoridades e instituciones educativas que incluyan en sus programas y actividades temas del derecho de acceso a la información;</w:t>
            </w:r>
          </w:p>
          <w:p w14:paraId="77285367"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Promover la instalación de módulos de información pública en bibliotecas e instalaciones archivísticas;</w:t>
            </w:r>
          </w:p>
          <w:p w14:paraId="6114945F"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Promover la creación de centros de investigación, difusión y docencia sobre transparencia, derecho de acceso a la información y rendición de cuentas;</w:t>
            </w:r>
          </w:p>
          <w:p w14:paraId="6D8CE763"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 Establecer acuerdos para elaborar y publicar material de derecho de acceso a la información entre las instituciones públicas de educación;</w:t>
            </w:r>
          </w:p>
          <w:p w14:paraId="5195A9DD"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Promover la participación ciudadana en materia de transparencia y acceso a la información entre autoridades; </w:t>
            </w:r>
          </w:p>
          <w:p w14:paraId="75A26883"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Desarrollar programas de formación de personas usuarias; </w:t>
            </w:r>
          </w:p>
          <w:p w14:paraId="729052A3"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 Desarrollar programas para la asesoría y orientación de personas usuarias del derecho de acceso a la información en centros comunitarios digitales y bibliotecas; </w:t>
            </w:r>
          </w:p>
          <w:p w14:paraId="25BF2A88"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Desarrollar estrategias para fomentar la igualdad y no discriminación en las acciones de promoción del ejercicio del derecho de acceso a la información;</w:t>
            </w:r>
          </w:p>
          <w:p w14:paraId="31CF6BDD"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Otra.</w:t>
            </w:r>
          </w:p>
          <w:p w14:paraId="7D69C98F" w14:textId="77777777" w:rsidR="00E35B30" w:rsidRPr="00BA784D" w:rsidRDefault="00E35B30">
            <w:pPr>
              <w:spacing w:line="360" w:lineRule="auto"/>
              <w:rPr>
                <w:rFonts w:ascii="Times New Roman" w:eastAsia="Times New Roman" w:hAnsi="Times New Roman" w:cs="Times New Roman"/>
                <w:sz w:val="24"/>
                <w:szCs w:val="24"/>
              </w:rPr>
            </w:pPr>
          </w:p>
          <w:p w14:paraId="5E666FB4" w14:textId="2F0FAA6E" w:rsidR="00E35B30" w:rsidRPr="00BA784D" w:rsidRDefault="0027114E">
            <w:pPr>
              <w:spacing w:line="360" w:lineRule="auto"/>
              <w:rPr>
                <w:rFonts w:ascii="Times New Roman" w:eastAsia="Times New Roman" w:hAnsi="Times New Roman" w:cs="Times New Roman"/>
                <w:sz w:val="24"/>
                <w:szCs w:val="24"/>
              </w:rPr>
            </w:pP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EvPub</m:t>
                  </m:r>
                </m:e>
                <m:sub>
                  <m:r>
                    <w:rPr>
                      <w:rFonts w:ascii="Times New Roman" w:eastAsia="Times New Roman" w:hAnsi="Times New Roman" w:cs="Times New Roman"/>
                      <w:sz w:val="24"/>
                      <w:szCs w:val="24"/>
                    </w:rPr>
                    <m:t>i</m:t>
                  </m:r>
                </m:sub>
              </m:sSub>
            </m:oMath>
            <w:r w:rsidR="0036612A" w:rsidRPr="00BA784D">
              <w:rPr>
                <w:rFonts w:ascii="Times New Roman" w:eastAsia="Times New Roman" w:hAnsi="Times New Roman" w:cs="Times New Roman"/>
                <w:sz w:val="24"/>
                <w:szCs w:val="24"/>
              </w:rPr>
              <w:t xml:space="preserve">, se refiere a la cantidad de eventos dirigidos al público realizados por el Organismos Garante </w:t>
            </w:r>
            <w:r w:rsidR="0036612A" w:rsidRPr="00BA784D">
              <w:rPr>
                <w:rFonts w:ascii="Times New Roman" w:eastAsia="Times New Roman" w:hAnsi="Times New Roman" w:cs="Times New Roman"/>
                <w:i/>
                <w:sz w:val="24"/>
                <w:szCs w:val="24"/>
              </w:rPr>
              <w:t xml:space="preserve">i </w:t>
            </w:r>
            <w:r w:rsidR="0036612A" w:rsidRPr="00BA784D">
              <w:rPr>
                <w:rFonts w:ascii="Times New Roman" w:eastAsia="Times New Roman" w:hAnsi="Times New Roman" w:cs="Times New Roman"/>
                <w:sz w:val="24"/>
                <w:szCs w:val="24"/>
              </w:rPr>
              <w:t>para la promoción del derecho de acceso a la información:</w:t>
            </w:r>
          </w:p>
          <w:p w14:paraId="1AD836DE" w14:textId="070A0A18" w:rsidR="00E35B30" w:rsidRPr="00BA784D" w:rsidRDefault="00E35B30">
            <w:pPr>
              <w:spacing w:line="360" w:lineRule="auto"/>
              <w:rPr>
                <w:rFonts w:ascii="Times New Roman" w:eastAsia="Times New Roman" w:hAnsi="Times New Roman" w:cs="Times New Roman"/>
                <w:sz w:val="24"/>
                <w:szCs w:val="24"/>
              </w:rPr>
            </w:pPr>
          </w:p>
          <w:p w14:paraId="73BD9A64" w14:textId="3A618580"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-Capacitación específica en el tema de derecho de acceso a la información;</w:t>
            </w:r>
          </w:p>
          <w:p w14:paraId="4BD8F3ED" w14:textId="446AB5E9"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-Exposiciones en materia de derecho de acceso a la información;</w:t>
            </w:r>
          </w:p>
          <w:p w14:paraId="5D129FD7" w14:textId="1E67C74C"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-Convocatorias para participar en retos públicos en materia de transparencia y acceso a la información;</w:t>
            </w:r>
          </w:p>
          <w:p w14:paraId="2E8AE5A8" w14:textId="7B6204CB"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-Jornadas y mesas de trabajo en el tema de derecho de acceso a la información;</w:t>
            </w:r>
          </w:p>
          <w:p w14:paraId="21991CC0" w14:textId="217AE4CA"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-Jornadas y mesas de trabajo para promover la igualdad y no discriminación en el ejercicio del derecho de acceso a la información;</w:t>
            </w:r>
          </w:p>
          <w:p w14:paraId="09F0A681" w14:textId="02A7E18B" w:rsidR="00E35B30" w:rsidRPr="00BA784D" w:rsidRDefault="0036612A">
            <w:pPr>
              <w:spacing w:line="360" w:lineRule="auto"/>
              <w:rPr>
                <w:rFonts w:ascii="Times New Roman" w:eastAsia="Times New Roman" w:hAnsi="Times New Roman" w:cs="Times New Roman"/>
                <w:color w:val="000000"/>
                <w:sz w:val="24"/>
                <w:szCs w:val="24"/>
              </w:rPr>
            </w:pPr>
            <w:r w:rsidRPr="00BA784D">
              <w:rPr>
                <w:rFonts w:ascii="Times New Roman" w:eastAsia="Times New Roman" w:hAnsi="Times New Roman" w:cs="Times New Roman"/>
                <w:sz w:val="24"/>
                <w:szCs w:val="24"/>
              </w:rPr>
              <w:t>-Otro tipo de evento.</w:t>
            </w:r>
          </w:p>
        </w:tc>
      </w:tr>
      <w:tr w:rsidR="00E35B30" w:rsidRPr="00BA784D" w14:paraId="35399611" w14:textId="77777777">
        <w:trPr>
          <w:trHeight w:val="397"/>
        </w:trPr>
        <w:tc>
          <w:tcPr>
            <w:tcW w:w="1968" w:type="dxa"/>
            <w:vAlign w:val="center"/>
          </w:tcPr>
          <w:p w14:paraId="08B5218F"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lastRenderedPageBreak/>
              <w:t>Periodicidad</w:t>
            </w:r>
          </w:p>
        </w:tc>
        <w:tc>
          <w:tcPr>
            <w:tcW w:w="6860" w:type="dxa"/>
            <w:gridSpan w:val="2"/>
            <w:vAlign w:val="center"/>
          </w:tcPr>
          <w:p w14:paraId="27D51955"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Anual.</w:t>
            </w:r>
          </w:p>
        </w:tc>
      </w:tr>
      <w:tr w:rsidR="00E35B30" w:rsidRPr="00BA784D" w14:paraId="5DF6CB98" w14:textId="77777777">
        <w:trPr>
          <w:trHeight w:val="397"/>
        </w:trPr>
        <w:tc>
          <w:tcPr>
            <w:tcW w:w="1968" w:type="dxa"/>
            <w:vAlign w:val="center"/>
          </w:tcPr>
          <w:p w14:paraId="7D3EC8E3"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lastRenderedPageBreak/>
              <w:t>Medios de verificación</w:t>
            </w:r>
          </w:p>
        </w:tc>
        <w:tc>
          <w:tcPr>
            <w:tcW w:w="6860" w:type="dxa"/>
            <w:gridSpan w:val="2"/>
            <w:vAlign w:val="center"/>
          </w:tcPr>
          <w:p w14:paraId="2330A568" w14:textId="77777777" w:rsidR="00017507"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INEGI. </w:t>
            </w:r>
          </w:p>
          <w:p w14:paraId="498CE287" w14:textId="2DE49439"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Censo Nacional de Transparencia, Acceso a la Información Pública y Protección de Datos Personales</w:t>
            </w:r>
            <w:r w:rsidR="00017507" w:rsidRPr="00BA784D">
              <w:rPr>
                <w:rFonts w:ascii="Times New Roman" w:eastAsia="Times New Roman" w:hAnsi="Times New Roman" w:cs="Times New Roman"/>
                <w:sz w:val="24"/>
                <w:szCs w:val="24"/>
              </w:rPr>
              <w:t xml:space="preserve"> Federal</w:t>
            </w:r>
            <w:r w:rsidRPr="00BA784D">
              <w:rPr>
                <w:rFonts w:ascii="Times New Roman" w:eastAsia="Times New Roman" w:hAnsi="Times New Roman" w:cs="Times New Roman"/>
                <w:sz w:val="24"/>
                <w:szCs w:val="24"/>
              </w:rPr>
              <w:t xml:space="preserve"> (</w:t>
            </w:r>
            <w:r w:rsidR="00017507" w:rsidRPr="00BA784D">
              <w:rPr>
                <w:rFonts w:ascii="Times New Roman" w:eastAsia="Times New Roman" w:hAnsi="Times New Roman" w:cs="Times New Roman"/>
                <w:sz w:val="24"/>
                <w:szCs w:val="24"/>
              </w:rPr>
              <w:t>CNTAIPPDP</w:t>
            </w:r>
            <w:r w:rsidR="00505E6F" w:rsidRPr="00BA784D">
              <w:rPr>
                <w:rFonts w:ascii="Times New Roman" w:eastAsia="Times New Roman" w:hAnsi="Times New Roman" w:cs="Times New Roman"/>
                <w:sz w:val="24"/>
                <w:szCs w:val="24"/>
              </w:rPr>
              <w:t>F</w:t>
            </w:r>
            <w:r w:rsidRPr="00BA784D">
              <w:rPr>
                <w:rFonts w:ascii="Times New Roman" w:eastAsia="Times New Roman" w:hAnsi="Times New Roman" w:cs="Times New Roman"/>
                <w:sz w:val="24"/>
                <w:szCs w:val="24"/>
              </w:rPr>
              <w:t>).</w:t>
            </w:r>
          </w:p>
          <w:p w14:paraId="6CADADF0" w14:textId="26C67E9E" w:rsidR="00017507" w:rsidRPr="00BA784D" w:rsidRDefault="00017507">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color w:val="000000"/>
                <w:sz w:val="24"/>
                <w:szCs w:val="24"/>
              </w:rPr>
              <w:t>Censo Nacional de Transparencia, Acceso a la Información Pública y Protección de Datos Personales Estatal (CNTAIPPDP</w:t>
            </w:r>
            <w:r w:rsidR="00505E6F" w:rsidRPr="00BA784D">
              <w:rPr>
                <w:rFonts w:ascii="Times New Roman" w:eastAsia="Times New Roman" w:hAnsi="Times New Roman" w:cs="Times New Roman"/>
                <w:color w:val="000000"/>
                <w:sz w:val="24"/>
                <w:szCs w:val="24"/>
              </w:rPr>
              <w:t>E</w:t>
            </w:r>
            <w:r w:rsidRPr="00BA784D">
              <w:rPr>
                <w:rFonts w:ascii="Times New Roman" w:eastAsia="Times New Roman" w:hAnsi="Times New Roman" w:cs="Times New Roman"/>
                <w:color w:val="000000"/>
                <w:sz w:val="24"/>
                <w:szCs w:val="24"/>
              </w:rPr>
              <w:t>).</w:t>
            </w:r>
          </w:p>
        </w:tc>
      </w:tr>
      <w:tr w:rsidR="00E35B30" w:rsidRPr="00BA784D" w14:paraId="08B26D2E" w14:textId="77777777">
        <w:trPr>
          <w:trHeight w:val="397"/>
        </w:trPr>
        <w:tc>
          <w:tcPr>
            <w:tcW w:w="1968" w:type="dxa"/>
            <w:vAlign w:val="center"/>
          </w:tcPr>
          <w:p w14:paraId="5FED665A" w14:textId="77777777" w:rsidR="00E35B30" w:rsidRPr="00BA784D" w:rsidRDefault="0036612A">
            <w:pPr>
              <w:spacing w:line="360" w:lineRule="auto"/>
              <w:ind w:left="288" w:hanging="288"/>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Reactivos utilizados</w:t>
            </w:r>
          </w:p>
        </w:tc>
        <w:tc>
          <w:tcPr>
            <w:tcW w:w="3429" w:type="dxa"/>
            <w:vAlign w:val="center"/>
          </w:tcPr>
          <w:p w14:paraId="317C6642" w14:textId="188B307F" w:rsidR="00E35B30" w:rsidRPr="00BA784D" w:rsidRDefault="008E475E">
            <w:pPr>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 xml:space="preserve">Variable: </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AccCT</m:t>
                    </m:r>
                  </m:e>
                  <m:sub>
                    <m:r>
                      <w:rPr>
                        <w:rFonts w:ascii="Times New Roman" w:eastAsia="Times New Roman" w:hAnsi="Times New Roman" w:cs="Times New Roman"/>
                        <w:sz w:val="24"/>
                        <w:szCs w:val="24"/>
                      </w:rPr>
                      <m:t>i</m:t>
                    </m:r>
                  </m:sub>
                </m:sSub>
              </m:oMath>
            </m:oMathPara>
          </w:p>
          <w:p w14:paraId="0C6BCA78" w14:textId="3FA06727" w:rsidR="00E35B30" w:rsidRPr="00BA784D" w:rsidRDefault="008E475E">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Censo </w:t>
            </w:r>
            <w:r w:rsidR="0036612A" w:rsidRPr="00BA784D">
              <w:rPr>
                <w:rFonts w:ascii="Times New Roman" w:eastAsia="Times New Roman" w:hAnsi="Times New Roman" w:cs="Times New Roman"/>
                <w:sz w:val="24"/>
                <w:szCs w:val="24"/>
              </w:rPr>
              <w:t>Estatal</w:t>
            </w:r>
            <w:r w:rsidR="0036612A" w:rsidRPr="00BA784D">
              <w:rPr>
                <w:rFonts w:ascii="Times New Roman" w:eastAsia="Times New Roman" w:hAnsi="Times New Roman" w:cs="Times New Roman"/>
                <w:sz w:val="24"/>
                <w:szCs w:val="24"/>
              </w:rPr>
              <w:tab/>
              <w:t>M</w:t>
            </w:r>
            <w:r w:rsidRPr="00BA784D">
              <w:rPr>
                <w:rFonts w:ascii="Times New Roman" w:eastAsia="Times New Roman" w:hAnsi="Times New Roman" w:cs="Times New Roman"/>
                <w:sz w:val="24"/>
                <w:szCs w:val="24"/>
              </w:rPr>
              <w:t xml:space="preserve">ódulo </w:t>
            </w:r>
            <w:r w:rsidR="0036612A" w:rsidRPr="00BA784D">
              <w:rPr>
                <w:rFonts w:ascii="Times New Roman" w:eastAsia="Times New Roman" w:hAnsi="Times New Roman" w:cs="Times New Roman"/>
                <w:sz w:val="24"/>
                <w:szCs w:val="24"/>
              </w:rPr>
              <w:t>02</w:t>
            </w:r>
            <w:r w:rsidRPr="00BA784D">
              <w:rPr>
                <w:rFonts w:ascii="Times New Roman" w:eastAsia="Times New Roman" w:hAnsi="Times New Roman" w:cs="Times New Roman"/>
                <w:sz w:val="24"/>
                <w:szCs w:val="24"/>
              </w:rPr>
              <w:t xml:space="preserve"> </w:t>
            </w:r>
            <w:r w:rsidR="0036612A" w:rsidRPr="00BA784D">
              <w:rPr>
                <w:rFonts w:ascii="Times New Roman" w:eastAsia="Times New Roman" w:hAnsi="Times New Roman" w:cs="Times New Roman"/>
                <w:sz w:val="24"/>
                <w:szCs w:val="24"/>
              </w:rPr>
              <w:t>S</w:t>
            </w:r>
            <w:r w:rsidRPr="00BA784D">
              <w:rPr>
                <w:rFonts w:ascii="Times New Roman" w:eastAsia="Times New Roman" w:hAnsi="Times New Roman" w:cs="Times New Roman"/>
                <w:sz w:val="24"/>
                <w:szCs w:val="24"/>
              </w:rPr>
              <w:t xml:space="preserve">ección </w:t>
            </w:r>
            <w:r w:rsidR="0036612A" w:rsidRPr="00BA784D">
              <w:rPr>
                <w:rFonts w:ascii="Times New Roman" w:eastAsia="Times New Roman" w:hAnsi="Times New Roman" w:cs="Times New Roman"/>
                <w:sz w:val="24"/>
                <w:szCs w:val="24"/>
              </w:rPr>
              <w:t>02</w:t>
            </w:r>
            <w:r w:rsidRPr="00BA784D">
              <w:rPr>
                <w:rFonts w:ascii="Times New Roman" w:eastAsia="Times New Roman" w:hAnsi="Times New Roman" w:cs="Times New Roman"/>
                <w:sz w:val="24"/>
                <w:szCs w:val="24"/>
              </w:rPr>
              <w:t xml:space="preserve"> </w:t>
            </w:r>
            <w:r w:rsidR="0036612A" w:rsidRPr="00BA784D">
              <w:rPr>
                <w:rFonts w:ascii="Times New Roman" w:eastAsia="Times New Roman" w:hAnsi="Times New Roman" w:cs="Times New Roman"/>
                <w:sz w:val="24"/>
                <w:szCs w:val="24"/>
              </w:rPr>
              <w:t>P</w:t>
            </w:r>
            <w:r w:rsidRPr="00BA784D">
              <w:rPr>
                <w:rFonts w:ascii="Times New Roman" w:eastAsia="Times New Roman" w:hAnsi="Times New Roman" w:cs="Times New Roman"/>
                <w:sz w:val="24"/>
                <w:szCs w:val="24"/>
              </w:rPr>
              <w:t xml:space="preserve">regunta </w:t>
            </w:r>
            <w:r w:rsidR="0036612A" w:rsidRPr="00BA784D">
              <w:rPr>
                <w:rFonts w:ascii="Times New Roman" w:eastAsia="Times New Roman" w:hAnsi="Times New Roman" w:cs="Times New Roman"/>
                <w:sz w:val="24"/>
                <w:szCs w:val="24"/>
              </w:rPr>
              <w:t>1</w:t>
            </w:r>
            <w:r w:rsidR="00C35042" w:rsidRPr="00BA784D">
              <w:rPr>
                <w:rFonts w:ascii="Times New Roman" w:eastAsia="Times New Roman" w:hAnsi="Times New Roman" w:cs="Times New Roman"/>
                <w:sz w:val="24"/>
                <w:szCs w:val="24"/>
              </w:rPr>
              <w:t>5A</w:t>
            </w:r>
          </w:p>
          <w:p w14:paraId="1E4324EE" w14:textId="559816C5" w:rsidR="00E35B30" w:rsidRPr="00BA784D" w:rsidRDefault="008E475E">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Censo </w:t>
            </w:r>
            <w:r w:rsidR="0036612A" w:rsidRPr="00BA784D">
              <w:rPr>
                <w:rFonts w:ascii="Times New Roman" w:eastAsia="Times New Roman" w:hAnsi="Times New Roman" w:cs="Times New Roman"/>
                <w:sz w:val="24"/>
                <w:szCs w:val="24"/>
              </w:rPr>
              <w:t>Federal M</w:t>
            </w:r>
            <w:r w:rsidRPr="00BA784D">
              <w:rPr>
                <w:rFonts w:ascii="Times New Roman" w:eastAsia="Times New Roman" w:hAnsi="Times New Roman" w:cs="Times New Roman"/>
                <w:sz w:val="24"/>
                <w:szCs w:val="24"/>
              </w:rPr>
              <w:t xml:space="preserve">ódulo </w:t>
            </w:r>
            <w:r w:rsidR="0036612A" w:rsidRPr="00BA784D">
              <w:rPr>
                <w:rFonts w:ascii="Times New Roman" w:eastAsia="Times New Roman" w:hAnsi="Times New Roman" w:cs="Times New Roman"/>
                <w:sz w:val="24"/>
                <w:szCs w:val="24"/>
              </w:rPr>
              <w:t>02</w:t>
            </w:r>
            <w:r w:rsidRPr="00BA784D">
              <w:rPr>
                <w:rFonts w:ascii="Times New Roman" w:eastAsia="Times New Roman" w:hAnsi="Times New Roman" w:cs="Times New Roman"/>
                <w:sz w:val="24"/>
                <w:szCs w:val="24"/>
              </w:rPr>
              <w:t xml:space="preserve"> </w:t>
            </w:r>
            <w:r w:rsidR="0036612A" w:rsidRPr="00BA784D">
              <w:rPr>
                <w:rFonts w:ascii="Times New Roman" w:eastAsia="Times New Roman" w:hAnsi="Times New Roman" w:cs="Times New Roman"/>
                <w:sz w:val="24"/>
                <w:szCs w:val="24"/>
              </w:rPr>
              <w:t>S</w:t>
            </w:r>
            <w:r w:rsidRPr="00BA784D">
              <w:rPr>
                <w:rFonts w:ascii="Times New Roman" w:eastAsia="Times New Roman" w:hAnsi="Times New Roman" w:cs="Times New Roman"/>
                <w:sz w:val="24"/>
                <w:szCs w:val="24"/>
              </w:rPr>
              <w:t xml:space="preserve">ección </w:t>
            </w:r>
            <w:r w:rsidR="0036612A" w:rsidRPr="00BA784D">
              <w:rPr>
                <w:rFonts w:ascii="Times New Roman" w:eastAsia="Times New Roman" w:hAnsi="Times New Roman" w:cs="Times New Roman"/>
                <w:sz w:val="24"/>
                <w:szCs w:val="24"/>
              </w:rPr>
              <w:t>02</w:t>
            </w:r>
            <w:r w:rsidRPr="00BA784D">
              <w:rPr>
                <w:rFonts w:ascii="Times New Roman" w:eastAsia="Times New Roman" w:hAnsi="Times New Roman" w:cs="Times New Roman"/>
                <w:sz w:val="24"/>
                <w:szCs w:val="24"/>
              </w:rPr>
              <w:t xml:space="preserve"> Pregunta</w:t>
            </w:r>
            <w:r w:rsidR="0036612A" w:rsidRPr="00BA784D">
              <w:rPr>
                <w:rFonts w:ascii="Times New Roman" w:eastAsia="Times New Roman" w:hAnsi="Times New Roman" w:cs="Times New Roman"/>
                <w:sz w:val="24"/>
                <w:szCs w:val="24"/>
              </w:rPr>
              <w:t>1</w:t>
            </w:r>
            <w:r w:rsidR="00C35042" w:rsidRPr="00BA784D">
              <w:rPr>
                <w:rFonts w:ascii="Times New Roman" w:eastAsia="Times New Roman" w:hAnsi="Times New Roman" w:cs="Times New Roman"/>
                <w:sz w:val="24"/>
                <w:szCs w:val="24"/>
              </w:rPr>
              <w:t>4A</w:t>
            </w:r>
          </w:p>
        </w:tc>
        <w:tc>
          <w:tcPr>
            <w:tcW w:w="3431" w:type="dxa"/>
            <w:vAlign w:val="center"/>
          </w:tcPr>
          <w:p w14:paraId="10EC6EF1" w14:textId="3B19BEFF" w:rsidR="00E35B30" w:rsidRPr="00BA784D" w:rsidRDefault="00375F8A">
            <w:pPr>
              <w:jc w:val="center"/>
              <w:rPr>
                <w:rFonts w:ascii="Times New Roman" w:eastAsia="Times New Roman" w:hAnsi="Times New Roman" w:cs="Times New Roman"/>
                <w:sz w:val="24"/>
                <w:szCs w:val="24"/>
              </w:rPr>
            </w:pPr>
            <w:r w:rsidRPr="00BA784D">
              <w:rPr>
                <w:rFonts w:ascii="Times New Roman" w:eastAsia="Times New Roman" w:hAnsi="Times New Roman" w:cs="Times New Roman"/>
                <w:i/>
                <w:sz w:val="24"/>
                <w:szCs w:val="24"/>
              </w:rPr>
              <w:t>Variable:</w:t>
            </w:r>
            <w:r w:rsidRPr="00BA784D">
              <w:rPr>
                <w:rFonts w:ascii="Times New Roman" w:eastAsia="Times New Roman" w:hAnsi="Times New Roman" w:cs="Times New Roman"/>
                <w:sz w:val="24"/>
                <w:szCs w:val="24"/>
              </w:rPr>
              <w:t xml:space="preserve"> </w:t>
            </w:r>
            <m:oMath>
              <m:r>
                <w:rPr>
                  <w:rFonts w:ascii="Times New Roman" w:eastAsia="Times New Roman" w:hAnsi="Times New Roman" w:cs="Times New Roman"/>
                  <w:sz w:val="24"/>
                  <w:szCs w:val="24"/>
                </w:rPr>
                <m:t>vPub</m:t>
              </m:r>
            </m:oMath>
          </w:p>
          <w:p w14:paraId="5968DB08" w14:textId="1C6DD380" w:rsidR="00E35B30" w:rsidRPr="00BA784D" w:rsidRDefault="00375F8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Censo </w:t>
            </w:r>
            <w:r w:rsidR="0036612A" w:rsidRPr="00BA784D">
              <w:rPr>
                <w:rFonts w:ascii="Times New Roman" w:eastAsia="Times New Roman" w:hAnsi="Times New Roman" w:cs="Times New Roman"/>
                <w:sz w:val="24"/>
                <w:szCs w:val="24"/>
              </w:rPr>
              <w:t>Estatal</w:t>
            </w:r>
            <w:r w:rsidR="0036612A" w:rsidRPr="00BA784D">
              <w:rPr>
                <w:rFonts w:ascii="Times New Roman" w:eastAsia="Times New Roman" w:hAnsi="Times New Roman" w:cs="Times New Roman"/>
                <w:sz w:val="24"/>
                <w:szCs w:val="24"/>
              </w:rPr>
              <w:tab/>
              <w:t>M</w:t>
            </w:r>
            <w:r w:rsidRPr="00BA784D">
              <w:rPr>
                <w:rFonts w:ascii="Times New Roman" w:eastAsia="Times New Roman" w:hAnsi="Times New Roman" w:cs="Times New Roman"/>
                <w:sz w:val="24"/>
                <w:szCs w:val="24"/>
              </w:rPr>
              <w:t xml:space="preserve">ódulo </w:t>
            </w:r>
            <w:r w:rsidR="0036612A" w:rsidRPr="00BA784D">
              <w:rPr>
                <w:rFonts w:ascii="Times New Roman" w:eastAsia="Times New Roman" w:hAnsi="Times New Roman" w:cs="Times New Roman"/>
                <w:sz w:val="24"/>
                <w:szCs w:val="24"/>
              </w:rPr>
              <w:t>02</w:t>
            </w:r>
            <w:r w:rsidRPr="00BA784D">
              <w:rPr>
                <w:rFonts w:ascii="Times New Roman" w:eastAsia="Times New Roman" w:hAnsi="Times New Roman" w:cs="Times New Roman"/>
                <w:sz w:val="24"/>
                <w:szCs w:val="24"/>
              </w:rPr>
              <w:t xml:space="preserve"> </w:t>
            </w:r>
            <w:r w:rsidR="0036612A" w:rsidRPr="00BA784D">
              <w:rPr>
                <w:rFonts w:ascii="Times New Roman" w:eastAsia="Times New Roman" w:hAnsi="Times New Roman" w:cs="Times New Roman"/>
                <w:sz w:val="24"/>
                <w:szCs w:val="24"/>
              </w:rPr>
              <w:t>S</w:t>
            </w:r>
            <w:r w:rsidRPr="00BA784D">
              <w:rPr>
                <w:rFonts w:ascii="Times New Roman" w:eastAsia="Times New Roman" w:hAnsi="Times New Roman" w:cs="Times New Roman"/>
                <w:sz w:val="24"/>
                <w:szCs w:val="24"/>
              </w:rPr>
              <w:t xml:space="preserve">ección </w:t>
            </w:r>
            <w:r w:rsidR="0036612A" w:rsidRPr="00BA784D">
              <w:rPr>
                <w:rFonts w:ascii="Times New Roman" w:eastAsia="Times New Roman" w:hAnsi="Times New Roman" w:cs="Times New Roman"/>
                <w:sz w:val="24"/>
                <w:szCs w:val="24"/>
              </w:rPr>
              <w:t>02</w:t>
            </w:r>
            <w:r w:rsidR="00EB2D01" w:rsidRPr="00BA784D">
              <w:rPr>
                <w:rFonts w:ascii="Times New Roman" w:eastAsia="Times New Roman" w:hAnsi="Times New Roman" w:cs="Times New Roman"/>
                <w:sz w:val="24"/>
                <w:szCs w:val="24"/>
              </w:rPr>
              <w:t xml:space="preserve"> </w:t>
            </w:r>
            <w:r w:rsidRPr="00BA784D">
              <w:rPr>
                <w:rFonts w:ascii="Times New Roman" w:eastAsia="Times New Roman" w:hAnsi="Times New Roman" w:cs="Times New Roman"/>
                <w:sz w:val="24"/>
                <w:szCs w:val="24"/>
              </w:rPr>
              <w:t>Pregunta 14A</w:t>
            </w:r>
          </w:p>
          <w:p w14:paraId="26A7A6B0" w14:textId="5A892517" w:rsidR="00E35B30" w:rsidRPr="00BA784D" w:rsidRDefault="00375F8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Censo </w:t>
            </w:r>
            <w:r w:rsidR="0036612A" w:rsidRPr="00BA784D">
              <w:rPr>
                <w:rFonts w:ascii="Times New Roman" w:eastAsia="Times New Roman" w:hAnsi="Times New Roman" w:cs="Times New Roman"/>
                <w:sz w:val="24"/>
                <w:szCs w:val="24"/>
              </w:rPr>
              <w:t>Federal M</w:t>
            </w:r>
            <w:r w:rsidRPr="00BA784D">
              <w:rPr>
                <w:rFonts w:ascii="Times New Roman" w:eastAsia="Times New Roman" w:hAnsi="Times New Roman" w:cs="Times New Roman"/>
                <w:sz w:val="24"/>
                <w:szCs w:val="24"/>
              </w:rPr>
              <w:t xml:space="preserve">ódulo </w:t>
            </w:r>
            <w:r w:rsidR="0036612A" w:rsidRPr="00BA784D">
              <w:rPr>
                <w:rFonts w:ascii="Times New Roman" w:eastAsia="Times New Roman" w:hAnsi="Times New Roman" w:cs="Times New Roman"/>
                <w:sz w:val="24"/>
                <w:szCs w:val="24"/>
              </w:rPr>
              <w:t>02</w:t>
            </w:r>
            <w:r w:rsidRPr="00BA784D">
              <w:rPr>
                <w:rFonts w:ascii="Times New Roman" w:eastAsia="Times New Roman" w:hAnsi="Times New Roman" w:cs="Times New Roman"/>
                <w:sz w:val="24"/>
                <w:szCs w:val="24"/>
              </w:rPr>
              <w:t xml:space="preserve"> </w:t>
            </w:r>
            <w:r w:rsidR="0036612A" w:rsidRPr="00BA784D">
              <w:rPr>
                <w:rFonts w:ascii="Times New Roman" w:eastAsia="Times New Roman" w:hAnsi="Times New Roman" w:cs="Times New Roman"/>
                <w:sz w:val="24"/>
                <w:szCs w:val="24"/>
              </w:rPr>
              <w:t>S</w:t>
            </w:r>
            <w:r w:rsidRPr="00BA784D">
              <w:rPr>
                <w:rFonts w:ascii="Times New Roman" w:eastAsia="Times New Roman" w:hAnsi="Times New Roman" w:cs="Times New Roman"/>
                <w:sz w:val="24"/>
                <w:szCs w:val="24"/>
              </w:rPr>
              <w:t xml:space="preserve">ección </w:t>
            </w:r>
            <w:r w:rsidR="0036612A" w:rsidRPr="00BA784D">
              <w:rPr>
                <w:rFonts w:ascii="Times New Roman" w:eastAsia="Times New Roman" w:hAnsi="Times New Roman" w:cs="Times New Roman"/>
                <w:sz w:val="24"/>
                <w:szCs w:val="24"/>
              </w:rPr>
              <w:t>02</w:t>
            </w:r>
            <w:r w:rsidR="00EB2D01" w:rsidRPr="00BA784D">
              <w:rPr>
                <w:rFonts w:ascii="Times New Roman" w:eastAsia="Times New Roman" w:hAnsi="Times New Roman" w:cs="Times New Roman"/>
                <w:sz w:val="24"/>
                <w:szCs w:val="24"/>
              </w:rPr>
              <w:t xml:space="preserve"> </w:t>
            </w:r>
            <w:r w:rsidR="0036612A" w:rsidRPr="00BA784D">
              <w:rPr>
                <w:rFonts w:ascii="Times New Roman" w:eastAsia="Times New Roman" w:hAnsi="Times New Roman" w:cs="Times New Roman"/>
                <w:sz w:val="24"/>
                <w:szCs w:val="24"/>
              </w:rPr>
              <w:t>P</w:t>
            </w:r>
            <w:r w:rsidRPr="00BA784D">
              <w:rPr>
                <w:rFonts w:ascii="Times New Roman" w:eastAsia="Times New Roman" w:hAnsi="Times New Roman" w:cs="Times New Roman"/>
                <w:sz w:val="24"/>
                <w:szCs w:val="24"/>
              </w:rPr>
              <w:t xml:space="preserve">regunta </w:t>
            </w:r>
            <w:r w:rsidR="0036612A" w:rsidRPr="00BA784D">
              <w:rPr>
                <w:rFonts w:ascii="Times New Roman" w:eastAsia="Times New Roman" w:hAnsi="Times New Roman" w:cs="Times New Roman"/>
                <w:sz w:val="24"/>
                <w:szCs w:val="24"/>
              </w:rPr>
              <w:t>1</w:t>
            </w:r>
            <w:r w:rsidRPr="00BA784D">
              <w:rPr>
                <w:rFonts w:ascii="Times New Roman" w:eastAsia="Times New Roman" w:hAnsi="Times New Roman" w:cs="Times New Roman"/>
                <w:sz w:val="24"/>
                <w:szCs w:val="24"/>
              </w:rPr>
              <w:t>3A</w:t>
            </w:r>
          </w:p>
        </w:tc>
      </w:tr>
      <w:tr w:rsidR="00E35B30" w:rsidRPr="00BA784D" w14:paraId="25EF2282" w14:textId="77777777">
        <w:trPr>
          <w:trHeight w:val="397"/>
        </w:trPr>
        <w:tc>
          <w:tcPr>
            <w:tcW w:w="1968" w:type="dxa"/>
            <w:vAlign w:val="center"/>
          </w:tcPr>
          <w:p w14:paraId="40133CE0" w14:textId="77777777" w:rsidR="00E35B30" w:rsidRPr="00BA784D" w:rsidRDefault="0036612A">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Actores vinculados con el indicador</w:t>
            </w:r>
          </w:p>
        </w:tc>
        <w:tc>
          <w:tcPr>
            <w:tcW w:w="6860" w:type="dxa"/>
            <w:gridSpan w:val="2"/>
            <w:vAlign w:val="center"/>
          </w:tcPr>
          <w:p w14:paraId="3D133BEF"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Organismos Garantes.</w:t>
            </w:r>
          </w:p>
        </w:tc>
      </w:tr>
      <w:tr w:rsidR="00640466" w:rsidRPr="00BA784D" w14:paraId="043083DA" w14:textId="77777777">
        <w:trPr>
          <w:trHeight w:val="397"/>
        </w:trPr>
        <w:tc>
          <w:tcPr>
            <w:tcW w:w="1968" w:type="dxa"/>
            <w:vAlign w:val="center"/>
          </w:tcPr>
          <w:p w14:paraId="620B912B" w14:textId="5A60CDFA" w:rsidR="00640466" w:rsidRPr="00BA784D" w:rsidRDefault="00640466"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Línea base (CNTAIPPDPF y CNTAIPPDPE 2020)</w:t>
            </w:r>
          </w:p>
        </w:tc>
        <w:tc>
          <w:tcPr>
            <w:tcW w:w="6860" w:type="dxa"/>
            <w:gridSpan w:val="2"/>
            <w:vAlign w:val="center"/>
          </w:tcPr>
          <w:p w14:paraId="2C4A0234" w14:textId="77777777" w:rsidR="00FD4F8F" w:rsidRDefault="00B209BC"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69.39</w:t>
            </w:r>
          </w:p>
          <w:p w14:paraId="70CD0472" w14:textId="0E033662" w:rsidR="00640466" w:rsidRPr="00BA784D" w:rsidRDefault="00640466"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br/>
            </w:r>
            <w:hyperlink r:id="rId41" w:history="1">
              <w:r w:rsidR="00FD4F8F" w:rsidRPr="00FD4F8F">
                <w:rPr>
                  <w:rStyle w:val="Hipervnculo"/>
                  <w:rFonts w:ascii="Times New Roman" w:eastAsia="Times New Roman" w:hAnsi="Times New Roman" w:cs="Times New Roman"/>
                  <w:sz w:val="24"/>
                  <w:szCs w:val="24"/>
                </w:rPr>
                <w:t>https://www.inegi.org.mx/programas/cntaippdpf/2020/</w:t>
              </w:r>
            </w:hyperlink>
            <w:r w:rsidR="00FD4F8F" w:rsidRPr="00BA784D">
              <w:rPr>
                <w:rFonts w:ascii="Times New Roman" w:eastAsia="Times New Roman" w:hAnsi="Times New Roman" w:cs="Times New Roman"/>
                <w:sz w:val="24"/>
                <w:szCs w:val="24"/>
              </w:rPr>
              <w:t xml:space="preserve"> y </w:t>
            </w:r>
            <w:hyperlink r:id="rId42" w:history="1">
              <w:r w:rsidR="00FD4F8F" w:rsidRPr="00FD4F8F">
                <w:rPr>
                  <w:rStyle w:val="Hipervnculo"/>
                  <w:rFonts w:ascii="Times New Roman" w:eastAsia="Times New Roman" w:hAnsi="Times New Roman" w:cs="Times New Roman"/>
                  <w:sz w:val="24"/>
                  <w:szCs w:val="24"/>
                </w:rPr>
                <w:t>https://www.inegi.org.mx/programas/cntaippdpe/2020/</w:t>
              </w:r>
            </w:hyperlink>
          </w:p>
        </w:tc>
      </w:tr>
      <w:tr w:rsidR="00640466" w:rsidRPr="00BA784D" w14:paraId="6E4B13AE" w14:textId="77777777">
        <w:trPr>
          <w:trHeight w:val="397"/>
        </w:trPr>
        <w:tc>
          <w:tcPr>
            <w:tcW w:w="1968" w:type="dxa"/>
            <w:vAlign w:val="center"/>
          </w:tcPr>
          <w:p w14:paraId="0D442618" w14:textId="37525F56" w:rsidR="00640466" w:rsidRPr="00BA784D" w:rsidRDefault="00640466"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2022 (CNTAIPPDPF y CNTAIPPDPE 2023)</w:t>
            </w:r>
          </w:p>
        </w:tc>
        <w:tc>
          <w:tcPr>
            <w:tcW w:w="6860" w:type="dxa"/>
            <w:gridSpan w:val="2"/>
            <w:vAlign w:val="center"/>
          </w:tcPr>
          <w:p w14:paraId="0A760FDC" w14:textId="4EDD3F00" w:rsidR="00640466" w:rsidRPr="00BA784D" w:rsidRDefault="00B209BC"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75</w:t>
            </w:r>
          </w:p>
        </w:tc>
      </w:tr>
      <w:tr w:rsidR="00640466" w:rsidRPr="00BA784D" w14:paraId="2F11463F" w14:textId="77777777">
        <w:trPr>
          <w:trHeight w:val="397"/>
        </w:trPr>
        <w:tc>
          <w:tcPr>
            <w:tcW w:w="1968" w:type="dxa"/>
            <w:vAlign w:val="center"/>
          </w:tcPr>
          <w:p w14:paraId="770592AB" w14:textId="0A2F0396" w:rsidR="00640466" w:rsidRPr="00BA784D" w:rsidRDefault="00640466"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2023 (CNTAIPPDPF y CNTAIPPDPE 2024)</w:t>
            </w:r>
          </w:p>
        </w:tc>
        <w:tc>
          <w:tcPr>
            <w:tcW w:w="6860" w:type="dxa"/>
            <w:gridSpan w:val="2"/>
            <w:vAlign w:val="center"/>
          </w:tcPr>
          <w:p w14:paraId="2BD89678" w14:textId="18C6BE7D" w:rsidR="00640466" w:rsidRPr="00BA784D" w:rsidRDefault="00B209BC"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80</w:t>
            </w:r>
          </w:p>
        </w:tc>
      </w:tr>
      <w:tr w:rsidR="00640466" w:rsidRPr="00BA784D" w14:paraId="04D70461" w14:textId="77777777">
        <w:trPr>
          <w:trHeight w:val="397"/>
        </w:trPr>
        <w:tc>
          <w:tcPr>
            <w:tcW w:w="1968" w:type="dxa"/>
            <w:vAlign w:val="center"/>
          </w:tcPr>
          <w:p w14:paraId="2F703545" w14:textId="22853BB9" w:rsidR="00640466" w:rsidRPr="00BA784D" w:rsidRDefault="00640466"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 xml:space="preserve">Meta 2024 (CNTAIPPDPF </w:t>
            </w:r>
            <w:r w:rsidRPr="00BA784D">
              <w:rPr>
                <w:rFonts w:ascii="Times New Roman" w:eastAsia="Times New Roman" w:hAnsi="Times New Roman" w:cs="Times New Roman"/>
                <w:smallCaps/>
                <w:sz w:val="24"/>
                <w:szCs w:val="24"/>
              </w:rPr>
              <w:lastRenderedPageBreak/>
              <w:t>y CNTAIPPDPE 2025)</w:t>
            </w:r>
          </w:p>
        </w:tc>
        <w:tc>
          <w:tcPr>
            <w:tcW w:w="6860" w:type="dxa"/>
            <w:gridSpan w:val="2"/>
            <w:vAlign w:val="center"/>
          </w:tcPr>
          <w:p w14:paraId="7EB87114" w14:textId="1B8692EF" w:rsidR="00640466" w:rsidRPr="00BA784D" w:rsidRDefault="00B209BC"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85</w:t>
            </w:r>
          </w:p>
        </w:tc>
      </w:tr>
      <w:tr w:rsidR="00293925" w:rsidRPr="00BA784D" w14:paraId="1034C26F" w14:textId="77777777">
        <w:trPr>
          <w:trHeight w:val="397"/>
        </w:trPr>
        <w:tc>
          <w:tcPr>
            <w:tcW w:w="1968" w:type="dxa"/>
            <w:vAlign w:val="center"/>
          </w:tcPr>
          <w:p w14:paraId="7A6EBCF7" w14:textId="44B36089" w:rsidR="00293925" w:rsidRPr="00BA784D" w:rsidRDefault="00293925"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2025 (CNTAIPPDPF y CNTAIPPDPE 2026)</w:t>
            </w:r>
          </w:p>
        </w:tc>
        <w:tc>
          <w:tcPr>
            <w:tcW w:w="6860" w:type="dxa"/>
            <w:gridSpan w:val="2"/>
            <w:vAlign w:val="center"/>
          </w:tcPr>
          <w:p w14:paraId="05545B07" w14:textId="005A8A2C" w:rsidR="00293925" w:rsidRPr="00BA784D" w:rsidRDefault="00293925"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90</w:t>
            </w:r>
          </w:p>
        </w:tc>
      </w:tr>
      <w:tr w:rsidR="00293925" w:rsidRPr="00BA784D" w14:paraId="75BFC87D" w14:textId="77777777">
        <w:trPr>
          <w:trHeight w:val="397"/>
        </w:trPr>
        <w:tc>
          <w:tcPr>
            <w:tcW w:w="1968" w:type="dxa"/>
            <w:vAlign w:val="center"/>
          </w:tcPr>
          <w:p w14:paraId="6206B628" w14:textId="4C9D8E7A" w:rsidR="00293925" w:rsidRPr="00BA784D" w:rsidRDefault="00293925"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2026 (CNTAIPPDPF y CNTAIPPDPE 2027)</w:t>
            </w:r>
          </w:p>
        </w:tc>
        <w:tc>
          <w:tcPr>
            <w:tcW w:w="6860" w:type="dxa"/>
            <w:gridSpan w:val="2"/>
            <w:vAlign w:val="center"/>
          </w:tcPr>
          <w:p w14:paraId="36870B0D" w14:textId="7A6FAEA2" w:rsidR="00293925" w:rsidRPr="00BA784D" w:rsidRDefault="00293925"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95</w:t>
            </w:r>
          </w:p>
        </w:tc>
      </w:tr>
      <w:tr w:rsidR="00FC2A4F" w:rsidRPr="00BA784D" w14:paraId="4470C83B" w14:textId="77777777">
        <w:trPr>
          <w:trHeight w:val="397"/>
        </w:trPr>
        <w:tc>
          <w:tcPr>
            <w:tcW w:w="1968" w:type="dxa"/>
            <w:vAlign w:val="center"/>
          </w:tcPr>
          <w:p w14:paraId="5694C880" w14:textId="00A76D69" w:rsidR="00FC2A4F" w:rsidRPr="00BA784D" w:rsidRDefault="00FC2A4F" w:rsidP="00FC2A4F">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comportamiento esperado</w:t>
            </w:r>
          </w:p>
        </w:tc>
        <w:tc>
          <w:tcPr>
            <w:tcW w:w="6860" w:type="dxa"/>
            <w:gridSpan w:val="2"/>
            <w:vAlign w:val="center"/>
          </w:tcPr>
          <w:p w14:paraId="24DCC4A6" w14:textId="76F9E3DF" w:rsidR="00FC2A4F" w:rsidRPr="00BA784D" w:rsidRDefault="0089608F" w:rsidP="00FC2A4F">
            <w:pPr>
              <w:widowControl/>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Ascendente</w:t>
            </w:r>
          </w:p>
        </w:tc>
      </w:tr>
    </w:tbl>
    <w:p w14:paraId="5A7126EE" w14:textId="75B49A7C" w:rsidR="00640466" w:rsidRPr="00BA784D" w:rsidRDefault="00640466"/>
    <w:p w14:paraId="2C978920" w14:textId="73E7F2BD" w:rsidR="00640466" w:rsidRPr="00BA784D" w:rsidRDefault="00640466"/>
    <w:p w14:paraId="2458209E" w14:textId="09CE367E" w:rsidR="00FD4F8F" w:rsidRDefault="00FD4F8F">
      <w:r>
        <w:br w:type="page"/>
      </w:r>
    </w:p>
    <w:tbl>
      <w:tblPr>
        <w:tblStyle w:val="2"/>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69"/>
        <w:gridCol w:w="6859"/>
      </w:tblGrid>
      <w:tr w:rsidR="00E35B30" w:rsidRPr="00BA784D" w14:paraId="5C5B3904" w14:textId="77777777">
        <w:trPr>
          <w:trHeight w:val="410"/>
        </w:trPr>
        <w:tc>
          <w:tcPr>
            <w:tcW w:w="8828" w:type="dxa"/>
            <w:gridSpan w:val="2"/>
          </w:tcPr>
          <w:p w14:paraId="611ACDEF" w14:textId="3515E63E" w:rsidR="00E35B30" w:rsidRPr="00BA784D" w:rsidRDefault="0036612A">
            <w:pPr>
              <w:pStyle w:val="Ttulo4"/>
              <w:spacing w:line="360" w:lineRule="auto"/>
              <w:ind w:firstLine="100"/>
              <w:jc w:val="both"/>
              <w:rPr>
                <w:rFonts w:ascii="Times New Roman" w:eastAsia="Times New Roman" w:hAnsi="Times New Roman" w:cs="Times New Roman"/>
              </w:rPr>
            </w:pPr>
            <w:bookmarkStart w:id="64" w:name="_Toc102051256"/>
            <w:r w:rsidRPr="00BA784D">
              <w:rPr>
                <w:rFonts w:ascii="Times New Roman" w:eastAsia="Times New Roman" w:hAnsi="Times New Roman" w:cs="Times New Roman"/>
              </w:rPr>
              <w:lastRenderedPageBreak/>
              <w:t xml:space="preserve">FICHA INDICADOR TRANSVERSAL B.1 Porcentaje </w:t>
            </w:r>
            <w:r w:rsidR="00767AF9" w:rsidRPr="00BA784D">
              <w:rPr>
                <w:rFonts w:ascii="Times New Roman" w:eastAsia="Times New Roman" w:hAnsi="Times New Roman" w:cs="Times New Roman"/>
              </w:rPr>
              <w:t xml:space="preserve">de Organismos Garantes </w:t>
            </w:r>
            <w:r w:rsidR="0054350A" w:rsidRPr="00BA784D">
              <w:rPr>
                <w:rFonts w:ascii="Times New Roman" w:eastAsia="Times New Roman" w:hAnsi="Times New Roman" w:cs="Times New Roman"/>
              </w:rPr>
              <w:t>que reportan que sus sujetos obligados</w:t>
            </w:r>
            <w:r w:rsidRPr="00BA784D">
              <w:rPr>
                <w:rFonts w:ascii="Times New Roman" w:eastAsia="Times New Roman" w:hAnsi="Times New Roman" w:cs="Times New Roman"/>
              </w:rPr>
              <w:t xml:space="preserve"> implementan medidas de accesibilidad y/o ajustes razonables.</w:t>
            </w:r>
            <w:bookmarkEnd w:id="64"/>
          </w:p>
        </w:tc>
      </w:tr>
      <w:tr w:rsidR="00E35B30" w:rsidRPr="00BA784D" w14:paraId="60E507B5" w14:textId="77777777">
        <w:trPr>
          <w:trHeight w:val="397"/>
        </w:trPr>
        <w:tc>
          <w:tcPr>
            <w:tcW w:w="1969" w:type="dxa"/>
            <w:shd w:val="clear" w:color="auto" w:fill="767171"/>
            <w:vAlign w:val="center"/>
          </w:tcPr>
          <w:p w14:paraId="32A73D93"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color w:val="FFFFFF"/>
                <w:sz w:val="24"/>
                <w:szCs w:val="24"/>
              </w:rPr>
              <w:t>ELEMENTO</w:t>
            </w:r>
          </w:p>
        </w:tc>
        <w:tc>
          <w:tcPr>
            <w:tcW w:w="6859" w:type="dxa"/>
            <w:shd w:val="clear" w:color="auto" w:fill="767171"/>
            <w:vAlign w:val="center"/>
          </w:tcPr>
          <w:p w14:paraId="54F1F230" w14:textId="77777777" w:rsidR="00E35B30" w:rsidRPr="00BA784D" w:rsidRDefault="0036612A">
            <w:pPr>
              <w:spacing w:line="360" w:lineRule="auto"/>
              <w:jc w:val="center"/>
              <w:rPr>
                <w:rFonts w:ascii="Times New Roman" w:eastAsia="Times New Roman" w:hAnsi="Times New Roman" w:cs="Times New Roman"/>
                <w:color w:val="FFFFFF"/>
                <w:sz w:val="24"/>
                <w:szCs w:val="24"/>
              </w:rPr>
            </w:pPr>
            <w:r w:rsidRPr="00BA784D">
              <w:rPr>
                <w:rFonts w:ascii="Times New Roman" w:eastAsia="Times New Roman" w:hAnsi="Times New Roman" w:cs="Times New Roman"/>
                <w:b/>
                <w:color w:val="FFFFFF"/>
                <w:sz w:val="24"/>
                <w:szCs w:val="24"/>
              </w:rPr>
              <w:t>CARACTERÍSTICA</w:t>
            </w:r>
          </w:p>
        </w:tc>
      </w:tr>
      <w:tr w:rsidR="00E35B30" w:rsidRPr="00BA784D" w14:paraId="431F8FDE" w14:textId="77777777">
        <w:trPr>
          <w:trHeight w:val="397"/>
        </w:trPr>
        <w:tc>
          <w:tcPr>
            <w:tcW w:w="1969" w:type="dxa"/>
            <w:vAlign w:val="center"/>
          </w:tcPr>
          <w:p w14:paraId="4D6596A6" w14:textId="77777777" w:rsidR="00E35B30" w:rsidRPr="00BA784D" w:rsidRDefault="0036612A">
            <w:pPr>
              <w:spacing w:line="360" w:lineRule="auto"/>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Eje</w:t>
            </w:r>
          </w:p>
        </w:tc>
        <w:tc>
          <w:tcPr>
            <w:tcW w:w="6859" w:type="dxa"/>
            <w:vAlign w:val="center"/>
          </w:tcPr>
          <w:p w14:paraId="4D514DB9"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B. Derechos Humanos, Enfoque de Género e Inclusión Social.</w:t>
            </w:r>
          </w:p>
        </w:tc>
      </w:tr>
      <w:tr w:rsidR="00E35B30" w:rsidRPr="00BA784D" w14:paraId="714C522C" w14:textId="77777777">
        <w:trPr>
          <w:trHeight w:val="397"/>
        </w:trPr>
        <w:tc>
          <w:tcPr>
            <w:tcW w:w="1969" w:type="dxa"/>
          </w:tcPr>
          <w:p w14:paraId="2CDF1370"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Objetivo</w:t>
            </w:r>
          </w:p>
        </w:tc>
        <w:tc>
          <w:tcPr>
            <w:tcW w:w="6859" w:type="dxa"/>
          </w:tcPr>
          <w:p w14:paraId="04F976B9"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B.1 Consolidar el enfoque de derechos humanos, género, no discriminación e inclusión social para garantizar atención integral a grupos con mayor vulnerabilidad en el ejercicio del derecho de acceso a la información.</w:t>
            </w:r>
          </w:p>
        </w:tc>
      </w:tr>
      <w:tr w:rsidR="00E35B30" w:rsidRPr="00BA784D" w14:paraId="33157D0A" w14:textId="77777777">
        <w:trPr>
          <w:trHeight w:val="397"/>
        </w:trPr>
        <w:tc>
          <w:tcPr>
            <w:tcW w:w="1969" w:type="dxa"/>
          </w:tcPr>
          <w:p w14:paraId="17F96051"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Descripción general</w:t>
            </w:r>
          </w:p>
        </w:tc>
        <w:tc>
          <w:tcPr>
            <w:tcW w:w="6859" w:type="dxa"/>
          </w:tcPr>
          <w:p w14:paraId="54F0C07E" w14:textId="474CD511"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Medir la cobertura de las acciones de accesibilidad y/o ajustes razonables desplegadas por los sujetos obligados reportados por sus Organismos Garantes.</w:t>
            </w:r>
          </w:p>
        </w:tc>
      </w:tr>
      <w:tr w:rsidR="00E35B30" w:rsidRPr="00BA784D" w14:paraId="500A93FA" w14:textId="77777777">
        <w:trPr>
          <w:trHeight w:val="397"/>
        </w:trPr>
        <w:tc>
          <w:tcPr>
            <w:tcW w:w="1969" w:type="dxa"/>
          </w:tcPr>
          <w:p w14:paraId="5A6AA540"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Método de cálculo</w:t>
            </w:r>
          </w:p>
        </w:tc>
        <w:tc>
          <w:tcPr>
            <w:tcW w:w="6859" w:type="dxa"/>
          </w:tcPr>
          <w:p w14:paraId="48526011" w14:textId="27A277E3" w:rsidR="00E35B30" w:rsidRDefault="0027114E">
            <w:pPr>
              <w:spacing w:line="360" w:lineRule="auto"/>
              <w:rPr>
                <w:rFonts w:ascii="Times New Roman" w:eastAsia="Times New Roman" w:hAnsi="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MAC</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i</m:t>
                            </m:r>
                          </m:sub>
                        </m:sSub>
                      </m:num>
                      <m:den>
                        <m:r>
                          <w:rPr>
                            <w:rFonts w:ascii="Cambria Math" w:eastAsia="Times New Roman" w:hAnsi="Cambria Math" w:cs="Times New Roman"/>
                            <w:sz w:val="24"/>
                            <w:szCs w:val="24"/>
                          </w:rPr>
                          <m:t>33</m:t>
                        </m:r>
                      </m:den>
                    </m:f>
                  </m:e>
                </m:d>
                <m:r>
                  <w:rPr>
                    <w:rFonts w:ascii="Cambria Math" w:eastAsia="Times New Roman" w:hAnsi="Cambria Math" w:cs="Times New Roman"/>
                    <w:sz w:val="24"/>
                    <w:szCs w:val="24"/>
                  </w:rPr>
                  <m:t>×100</m:t>
                </m:r>
              </m:oMath>
            </m:oMathPara>
          </w:p>
          <w:p w14:paraId="0143F88A" w14:textId="77777777" w:rsidR="00FD4F8F" w:rsidRPr="00BA784D" w:rsidRDefault="00FD4F8F">
            <w:pPr>
              <w:spacing w:line="360" w:lineRule="auto"/>
              <w:rPr>
                <w:rFonts w:ascii="Times New Roman" w:eastAsia="Times New Roman" w:hAnsi="Times New Roman" w:cs="Times New Roman"/>
                <w:sz w:val="24"/>
                <w:szCs w:val="24"/>
              </w:rPr>
            </w:pPr>
          </w:p>
          <w:p w14:paraId="71AA60E2"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Donde:</w:t>
            </w:r>
          </w:p>
          <w:p w14:paraId="3053A893" w14:textId="77777777" w:rsidR="00E35B30" w:rsidRPr="00BA784D" w:rsidRDefault="00E35B30">
            <w:pPr>
              <w:spacing w:line="360" w:lineRule="auto"/>
              <w:rPr>
                <w:rFonts w:ascii="Times New Roman" w:eastAsia="Times New Roman" w:hAnsi="Times New Roman" w:cs="Times New Roman"/>
                <w:sz w:val="24"/>
                <w:szCs w:val="24"/>
              </w:rPr>
            </w:pPr>
          </w:p>
          <w:p w14:paraId="447177B8" w14:textId="1EDE0A52" w:rsidR="00E35B30" w:rsidRPr="00FD4F8F" w:rsidRDefault="0036612A" w:rsidP="00FD4F8F">
            <w:pPr>
              <w:spacing w:line="360" w:lineRule="auto"/>
              <w:rPr>
                <w:rFonts w:ascii="Times New Roman" w:eastAsia="Times New Roman" w:hAnsi="Times New Roman" w:cs="Times New Roman"/>
                <w:sz w:val="24"/>
                <w:szCs w:val="24"/>
              </w:rPr>
            </w:pPr>
            <w:proofErr w:type="spellStart"/>
            <w:r w:rsidRPr="00BA784D">
              <w:rPr>
                <w:rFonts w:ascii="Times New Roman" w:eastAsia="Times New Roman" w:hAnsi="Times New Roman" w:cs="Times New Roman"/>
                <w:sz w:val="24"/>
                <w:szCs w:val="24"/>
              </w:rPr>
              <w:t>MAcc</w:t>
            </w:r>
            <w:r w:rsidRPr="00BA784D">
              <w:rPr>
                <w:rFonts w:ascii="Times New Roman" w:eastAsia="Times New Roman" w:hAnsi="Times New Roman" w:cs="Times New Roman"/>
                <w:sz w:val="24"/>
                <w:szCs w:val="24"/>
                <w:vertAlign w:val="subscript"/>
              </w:rPr>
              <w:t>i</w:t>
            </w:r>
            <w:proofErr w:type="spellEnd"/>
            <w:r w:rsidRPr="00BA784D">
              <w:rPr>
                <w:rFonts w:ascii="Times New Roman" w:eastAsia="Times New Roman" w:hAnsi="Times New Roman" w:cs="Times New Roman"/>
                <w:sz w:val="24"/>
                <w:szCs w:val="24"/>
              </w:rPr>
              <w:t>, se refiere al número de Organismos Garantes que reportan que sus Sujetos Obligados implementaron medidas de accesibilidad y/o ajustes razonables por categoría de Sujeto Obligado, donde i es cada una de las categorías de Sujetos Obligados.</w:t>
            </w:r>
          </w:p>
        </w:tc>
      </w:tr>
      <w:tr w:rsidR="00E35B30" w:rsidRPr="00BA784D" w14:paraId="3F39D4B1" w14:textId="77777777">
        <w:trPr>
          <w:trHeight w:val="397"/>
        </w:trPr>
        <w:tc>
          <w:tcPr>
            <w:tcW w:w="1969" w:type="dxa"/>
          </w:tcPr>
          <w:p w14:paraId="40DBB842"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Periodicidad</w:t>
            </w:r>
          </w:p>
        </w:tc>
        <w:tc>
          <w:tcPr>
            <w:tcW w:w="6859" w:type="dxa"/>
          </w:tcPr>
          <w:p w14:paraId="48389F08"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Anual.</w:t>
            </w:r>
          </w:p>
        </w:tc>
      </w:tr>
      <w:tr w:rsidR="00E35B30" w:rsidRPr="00BA784D" w14:paraId="44B52FB7" w14:textId="77777777">
        <w:trPr>
          <w:trHeight w:val="397"/>
        </w:trPr>
        <w:tc>
          <w:tcPr>
            <w:tcW w:w="1969" w:type="dxa"/>
          </w:tcPr>
          <w:p w14:paraId="28A15B86"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Medios de verificación</w:t>
            </w:r>
          </w:p>
        </w:tc>
        <w:tc>
          <w:tcPr>
            <w:tcW w:w="6859" w:type="dxa"/>
          </w:tcPr>
          <w:p w14:paraId="03EC7ACB" w14:textId="77777777" w:rsidR="00017507"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INEGI. </w:t>
            </w:r>
          </w:p>
          <w:p w14:paraId="10AD0E2B" w14:textId="79C6E5F7" w:rsidR="00017507" w:rsidRPr="00BA784D" w:rsidRDefault="0036612A" w:rsidP="00017507">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Censo Nacional de Transparencia, Acceso a la Información Pública y Protección de Datos Personales</w:t>
            </w:r>
            <w:r w:rsidR="00017507" w:rsidRPr="00BA784D">
              <w:rPr>
                <w:rFonts w:ascii="Times New Roman" w:eastAsia="Times New Roman" w:hAnsi="Times New Roman" w:cs="Times New Roman"/>
                <w:sz w:val="24"/>
                <w:szCs w:val="24"/>
              </w:rPr>
              <w:t xml:space="preserve"> Federal (CNTAIPPDP</w:t>
            </w:r>
            <w:r w:rsidR="00505E6F" w:rsidRPr="00BA784D">
              <w:rPr>
                <w:rFonts w:ascii="Times New Roman" w:eastAsia="Times New Roman" w:hAnsi="Times New Roman" w:cs="Times New Roman"/>
                <w:sz w:val="24"/>
                <w:szCs w:val="24"/>
              </w:rPr>
              <w:t>F</w:t>
            </w:r>
            <w:r w:rsidR="00017507" w:rsidRPr="00BA784D">
              <w:rPr>
                <w:rFonts w:ascii="Times New Roman" w:eastAsia="Times New Roman" w:hAnsi="Times New Roman" w:cs="Times New Roman"/>
                <w:sz w:val="24"/>
                <w:szCs w:val="24"/>
              </w:rPr>
              <w:t>).</w:t>
            </w:r>
          </w:p>
          <w:p w14:paraId="5140F99F" w14:textId="6F70FB8D" w:rsidR="00E35B30" w:rsidRPr="00BA784D" w:rsidRDefault="00017507" w:rsidP="00017507">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color w:val="000000"/>
                <w:sz w:val="24"/>
                <w:szCs w:val="24"/>
              </w:rPr>
              <w:t>Censo Nacional de Transparencia, Acceso a la Información Pública y Protección de Datos Personales Estatal (CNTAIPPDP</w:t>
            </w:r>
            <w:r w:rsidR="00505E6F" w:rsidRPr="00BA784D">
              <w:rPr>
                <w:rFonts w:ascii="Times New Roman" w:eastAsia="Times New Roman" w:hAnsi="Times New Roman" w:cs="Times New Roman"/>
                <w:color w:val="000000"/>
                <w:sz w:val="24"/>
                <w:szCs w:val="24"/>
              </w:rPr>
              <w:t>E</w:t>
            </w:r>
            <w:r w:rsidRPr="00BA784D">
              <w:rPr>
                <w:rFonts w:ascii="Times New Roman" w:eastAsia="Times New Roman" w:hAnsi="Times New Roman" w:cs="Times New Roman"/>
                <w:color w:val="000000"/>
                <w:sz w:val="24"/>
                <w:szCs w:val="24"/>
              </w:rPr>
              <w:t>).</w:t>
            </w:r>
          </w:p>
        </w:tc>
      </w:tr>
      <w:tr w:rsidR="00E35B30" w:rsidRPr="00BA784D" w14:paraId="3154BE00" w14:textId="77777777">
        <w:trPr>
          <w:trHeight w:val="424"/>
        </w:trPr>
        <w:tc>
          <w:tcPr>
            <w:tcW w:w="1969" w:type="dxa"/>
            <w:vAlign w:val="center"/>
          </w:tcPr>
          <w:p w14:paraId="75F448FB"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lastRenderedPageBreak/>
              <w:t>Reactivos utilizados</w:t>
            </w:r>
          </w:p>
        </w:tc>
        <w:tc>
          <w:tcPr>
            <w:tcW w:w="6859" w:type="dxa"/>
            <w:vAlign w:val="center"/>
          </w:tcPr>
          <w:p w14:paraId="37A0CCA8" w14:textId="312048CD" w:rsidR="00E35B30" w:rsidRPr="00BA784D" w:rsidRDefault="008E475E">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Censo </w:t>
            </w:r>
            <w:r w:rsidR="0036612A" w:rsidRPr="00BA784D">
              <w:rPr>
                <w:rFonts w:ascii="Times New Roman" w:eastAsia="Times New Roman" w:hAnsi="Times New Roman" w:cs="Times New Roman"/>
                <w:sz w:val="24"/>
                <w:szCs w:val="24"/>
              </w:rPr>
              <w:t>Estatal</w:t>
            </w:r>
            <w:r w:rsidR="0036612A" w:rsidRPr="00BA784D">
              <w:rPr>
                <w:rFonts w:ascii="Times New Roman" w:eastAsia="Times New Roman" w:hAnsi="Times New Roman" w:cs="Times New Roman"/>
                <w:sz w:val="24"/>
                <w:szCs w:val="24"/>
              </w:rPr>
              <w:tab/>
              <w:t>M</w:t>
            </w:r>
            <w:r w:rsidRPr="00BA784D">
              <w:rPr>
                <w:rFonts w:ascii="Times New Roman" w:eastAsia="Times New Roman" w:hAnsi="Times New Roman" w:cs="Times New Roman"/>
                <w:sz w:val="24"/>
                <w:szCs w:val="24"/>
              </w:rPr>
              <w:t xml:space="preserve">ódulo </w:t>
            </w:r>
            <w:r w:rsidR="0036612A" w:rsidRPr="00BA784D">
              <w:rPr>
                <w:rFonts w:ascii="Times New Roman" w:eastAsia="Times New Roman" w:hAnsi="Times New Roman" w:cs="Times New Roman"/>
                <w:sz w:val="24"/>
                <w:szCs w:val="24"/>
              </w:rPr>
              <w:t>03</w:t>
            </w:r>
            <w:r w:rsidRPr="00BA784D">
              <w:rPr>
                <w:rFonts w:ascii="Times New Roman" w:eastAsia="Times New Roman" w:hAnsi="Times New Roman" w:cs="Times New Roman"/>
                <w:sz w:val="24"/>
                <w:szCs w:val="24"/>
              </w:rPr>
              <w:t xml:space="preserve"> </w:t>
            </w:r>
            <w:r w:rsidR="0036612A" w:rsidRPr="00BA784D">
              <w:rPr>
                <w:rFonts w:ascii="Times New Roman" w:eastAsia="Times New Roman" w:hAnsi="Times New Roman" w:cs="Times New Roman"/>
                <w:sz w:val="24"/>
                <w:szCs w:val="24"/>
              </w:rPr>
              <w:t>S</w:t>
            </w:r>
            <w:r w:rsidRPr="00BA784D">
              <w:rPr>
                <w:rFonts w:ascii="Times New Roman" w:eastAsia="Times New Roman" w:hAnsi="Times New Roman" w:cs="Times New Roman"/>
                <w:sz w:val="24"/>
                <w:szCs w:val="24"/>
              </w:rPr>
              <w:t xml:space="preserve">ección </w:t>
            </w:r>
            <w:r w:rsidR="0036612A" w:rsidRPr="00BA784D">
              <w:rPr>
                <w:rFonts w:ascii="Times New Roman" w:eastAsia="Times New Roman" w:hAnsi="Times New Roman" w:cs="Times New Roman"/>
                <w:sz w:val="24"/>
                <w:szCs w:val="24"/>
              </w:rPr>
              <w:t>02</w:t>
            </w:r>
            <w:r w:rsidRPr="00BA784D">
              <w:rPr>
                <w:rFonts w:ascii="Times New Roman" w:eastAsia="Times New Roman" w:hAnsi="Times New Roman" w:cs="Times New Roman"/>
                <w:sz w:val="24"/>
                <w:szCs w:val="24"/>
              </w:rPr>
              <w:t xml:space="preserve"> </w:t>
            </w:r>
            <w:r w:rsidR="0036612A" w:rsidRPr="00BA784D">
              <w:rPr>
                <w:rFonts w:ascii="Times New Roman" w:eastAsia="Times New Roman" w:hAnsi="Times New Roman" w:cs="Times New Roman"/>
                <w:sz w:val="24"/>
                <w:szCs w:val="24"/>
              </w:rPr>
              <w:t>P</w:t>
            </w:r>
            <w:r w:rsidRPr="00BA784D">
              <w:rPr>
                <w:rFonts w:ascii="Times New Roman" w:eastAsia="Times New Roman" w:hAnsi="Times New Roman" w:cs="Times New Roman"/>
                <w:sz w:val="24"/>
                <w:szCs w:val="24"/>
              </w:rPr>
              <w:t xml:space="preserve">regunta </w:t>
            </w:r>
            <w:r w:rsidR="0036612A" w:rsidRPr="00BA784D">
              <w:rPr>
                <w:rFonts w:ascii="Times New Roman" w:eastAsia="Times New Roman" w:hAnsi="Times New Roman" w:cs="Times New Roman"/>
                <w:sz w:val="24"/>
                <w:szCs w:val="24"/>
              </w:rPr>
              <w:t>04</w:t>
            </w:r>
          </w:p>
          <w:p w14:paraId="2ED80C18" w14:textId="11D9F813" w:rsidR="00E35B30" w:rsidRPr="00BA784D" w:rsidRDefault="008E475E">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Censo </w:t>
            </w:r>
            <w:r w:rsidR="0036612A" w:rsidRPr="00BA784D">
              <w:rPr>
                <w:rFonts w:ascii="Times New Roman" w:eastAsia="Times New Roman" w:hAnsi="Times New Roman" w:cs="Times New Roman"/>
                <w:sz w:val="24"/>
                <w:szCs w:val="24"/>
              </w:rPr>
              <w:t>Federal M</w:t>
            </w:r>
            <w:r w:rsidRPr="00BA784D">
              <w:rPr>
                <w:rFonts w:ascii="Times New Roman" w:eastAsia="Times New Roman" w:hAnsi="Times New Roman" w:cs="Times New Roman"/>
                <w:sz w:val="24"/>
                <w:szCs w:val="24"/>
              </w:rPr>
              <w:t xml:space="preserve">ódulo </w:t>
            </w:r>
            <w:r w:rsidR="0036612A" w:rsidRPr="00BA784D">
              <w:rPr>
                <w:rFonts w:ascii="Times New Roman" w:eastAsia="Times New Roman" w:hAnsi="Times New Roman" w:cs="Times New Roman"/>
                <w:sz w:val="24"/>
                <w:szCs w:val="24"/>
              </w:rPr>
              <w:t>03</w:t>
            </w:r>
            <w:r w:rsidRPr="00BA784D">
              <w:rPr>
                <w:rFonts w:ascii="Times New Roman" w:eastAsia="Times New Roman" w:hAnsi="Times New Roman" w:cs="Times New Roman"/>
                <w:sz w:val="24"/>
                <w:szCs w:val="24"/>
              </w:rPr>
              <w:t xml:space="preserve"> </w:t>
            </w:r>
            <w:r w:rsidR="0036612A" w:rsidRPr="00BA784D">
              <w:rPr>
                <w:rFonts w:ascii="Times New Roman" w:eastAsia="Times New Roman" w:hAnsi="Times New Roman" w:cs="Times New Roman"/>
                <w:sz w:val="24"/>
                <w:szCs w:val="24"/>
              </w:rPr>
              <w:t>S</w:t>
            </w:r>
            <w:r w:rsidRPr="00BA784D">
              <w:rPr>
                <w:rFonts w:ascii="Times New Roman" w:eastAsia="Times New Roman" w:hAnsi="Times New Roman" w:cs="Times New Roman"/>
                <w:sz w:val="24"/>
                <w:szCs w:val="24"/>
              </w:rPr>
              <w:t xml:space="preserve">ección </w:t>
            </w:r>
            <w:r w:rsidR="0036612A" w:rsidRPr="00BA784D">
              <w:rPr>
                <w:rFonts w:ascii="Times New Roman" w:eastAsia="Times New Roman" w:hAnsi="Times New Roman" w:cs="Times New Roman"/>
                <w:sz w:val="24"/>
                <w:szCs w:val="24"/>
              </w:rPr>
              <w:t>02</w:t>
            </w:r>
            <w:r w:rsidRPr="00BA784D">
              <w:rPr>
                <w:rFonts w:ascii="Times New Roman" w:eastAsia="Times New Roman" w:hAnsi="Times New Roman" w:cs="Times New Roman"/>
                <w:sz w:val="24"/>
                <w:szCs w:val="24"/>
              </w:rPr>
              <w:t xml:space="preserve"> </w:t>
            </w:r>
            <w:r w:rsidR="0036612A" w:rsidRPr="00BA784D">
              <w:rPr>
                <w:rFonts w:ascii="Times New Roman" w:eastAsia="Times New Roman" w:hAnsi="Times New Roman" w:cs="Times New Roman"/>
                <w:sz w:val="24"/>
                <w:szCs w:val="24"/>
              </w:rPr>
              <w:t>P</w:t>
            </w:r>
            <w:r w:rsidRPr="00BA784D">
              <w:rPr>
                <w:rFonts w:ascii="Times New Roman" w:eastAsia="Times New Roman" w:hAnsi="Times New Roman" w:cs="Times New Roman"/>
                <w:sz w:val="24"/>
                <w:szCs w:val="24"/>
              </w:rPr>
              <w:t xml:space="preserve">regunta </w:t>
            </w:r>
            <w:r w:rsidR="0036612A" w:rsidRPr="00BA784D">
              <w:rPr>
                <w:rFonts w:ascii="Times New Roman" w:eastAsia="Times New Roman" w:hAnsi="Times New Roman" w:cs="Times New Roman"/>
                <w:sz w:val="24"/>
                <w:szCs w:val="24"/>
              </w:rPr>
              <w:t>04</w:t>
            </w:r>
          </w:p>
        </w:tc>
      </w:tr>
      <w:tr w:rsidR="00E35B30" w:rsidRPr="00BA784D" w14:paraId="68508213" w14:textId="77777777">
        <w:trPr>
          <w:trHeight w:val="397"/>
        </w:trPr>
        <w:tc>
          <w:tcPr>
            <w:tcW w:w="1969" w:type="dxa"/>
          </w:tcPr>
          <w:p w14:paraId="1B09D234" w14:textId="77777777" w:rsidR="00E35B30" w:rsidRPr="00BA784D" w:rsidRDefault="0036612A">
            <w:pP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Actores vinculados con el indicador</w:t>
            </w:r>
          </w:p>
        </w:tc>
        <w:tc>
          <w:tcPr>
            <w:tcW w:w="6859" w:type="dxa"/>
          </w:tcPr>
          <w:p w14:paraId="2930BF95"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Sujetos Obligados, agregados en las siguientes categorías:</w:t>
            </w:r>
          </w:p>
          <w:p w14:paraId="4E328DE5" w14:textId="77777777" w:rsidR="00E35B30" w:rsidRPr="00BA784D" w:rsidRDefault="00E35B30">
            <w:pPr>
              <w:spacing w:line="360" w:lineRule="auto"/>
              <w:jc w:val="both"/>
              <w:rPr>
                <w:rFonts w:ascii="Times New Roman" w:eastAsia="Times New Roman" w:hAnsi="Times New Roman" w:cs="Times New Roman"/>
                <w:sz w:val="24"/>
                <w:szCs w:val="24"/>
              </w:rPr>
            </w:pPr>
          </w:p>
          <w:p w14:paraId="047A7112"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Poder Ejecutivo / Municipios o demarcaciones territoriales de la Ciudad de México / Poder Legislativo / Poder Judicial / Organismos de protección de los derechos humanos / Organismos Garantes del derecho de acceso a la información y protección de datos personales / Organismos públicos electorales / Tribunal electoral / Fiscalía general / Tribunal de justicia administrativa / Otros organismos constitucionales autónomos / Autoridades administrativas y jurisdiccionales en materia laboral / Instituciones de educación superior públicas autónomas / Partidos políticos / Fideicomisos y fondos públicos / Sindicatos / Otros.</w:t>
            </w:r>
          </w:p>
        </w:tc>
      </w:tr>
      <w:tr w:rsidR="00640466" w:rsidRPr="00BA784D" w14:paraId="4CD19395" w14:textId="77777777">
        <w:trPr>
          <w:trHeight w:val="397"/>
        </w:trPr>
        <w:tc>
          <w:tcPr>
            <w:tcW w:w="1969" w:type="dxa"/>
            <w:vAlign w:val="center"/>
          </w:tcPr>
          <w:p w14:paraId="739AF821" w14:textId="720E9C5C" w:rsidR="00640466" w:rsidRPr="00BA784D" w:rsidRDefault="00640466"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Línea base (CNTAIPPDPF y CNTAIPPDPE 2020)</w:t>
            </w:r>
          </w:p>
        </w:tc>
        <w:tc>
          <w:tcPr>
            <w:tcW w:w="6859" w:type="dxa"/>
            <w:vAlign w:val="center"/>
          </w:tcPr>
          <w:p w14:paraId="5456C719" w14:textId="77777777" w:rsidR="00FD4F8F" w:rsidRDefault="0054350A"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87.87</w:t>
            </w:r>
            <w:r w:rsidR="00640466" w:rsidRPr="00BA784D">
              <w:rPr>
                <w:rFonts w:ascii="Times New Roman" w:eastAsia="Times New Roman" w:hAnsi="Times New Roman" w:cs="Times New Roman"/>
                <w:sz w:val="24"/>
                <w:szCs w:val="24"/>
              </w:rPr>
              <w:t xml:space="preserve">% </w:t>
            </w:r>
            <w:r w:rsidR="00640466" w:rsidRPr="00BA784D">
              <w:rPr>
                <w:rFonts w:ascii="Times New Roman" w:eastAsia="Times New Roman" w:hAnsi="Times New Roman" w:cs="Times New Roman"/>
                <w:sz w:val="24"/>
                <w:szCs w:val="24"/>
              </w:rPr>
              <w:br/>
            </w:r>
          </w:p>
          <w:p w14:paraId="1B2DF30A" w14:textId="451BBE0D" w:rsidR="00640466" w:rsidRPr="00BA784D" w:rsidRDefault="0027114E" w:rsidP="00640466">
            <w:pPr>
              <w:spacing w:line="360" w:lineRule="auto"/>
              <w:rPr>
                <w:rFonts w:ascii="Times New Roman" w:eastAsia="Times New Roman" w:hAnsi="Times New Roman" w:cs="Times New Roman"/>
                <w:sz w:val="24"/>
                <w:szCs w:val="24"/>
              </w:rPr>
            </w:pPr>
            <w:hyperlink r:id="rId43" w:history="1">
              <w:r w:rsidR="00FD4F8F" w:rsidRPr="00FD4F8F">
                <w:rPr>
                  <w:rStyle w:val="Hipervnculo"/>
                  <w:rFonts w:ascii="Times New Roman" w:eastAsia="Times New Roman" w:hAnsi="Times New Roman" w:cs="Times New Roman"/>
                  <w:sz w:val="24"/>
                  <w:szCs w:val="24"/>
                </w:rPr>
                <w:t>https://www.inegi.org.mx/programas/cntaippdpf/2020/</w:t>
              </w:r>
            </w:hyperlink>
            <w:r w:rsidR="00FD4F8F" w:rsidRPr="00BA784D">
              <w:rPr>
                <w:rFonts w:ascii="Times New Roman" w:eastAsia="Times New Roman" w:hAnsi="Times New Roman" w:cs="Times New Roman"/>
                <w:sz w:val="24"/>
                <w:szCs w:val="24"/>
              </w:rPr>
              <w:t xml:space="preserve"> y </w:t>
            </w:r>
            <w:hyperlink r:id="rId44" w:history="1">
              <w:r w:rsidR="00FD4F8F" w:rsidRPr="00FD4F8F">
                <w:rPr>
                  <w:rStyle w:val="Hipervnculo"/>
                  <w:rFonts w:ascii="Times New Roman" w:eastAsia="Times New Roman" w:hAnsi="Times New Roman" w:cs="Times New Roman"/>
                  <w:sz w:val="24"/>
                  <w:szCs w:val="24"/>
                </w:rPr>
                <w:t>https://www.inegi.org.mx/programas/cntaippdpe/2020/</w:t>
              </w:r>
            </w:hyperlink>
          </w:p>
        </w:tc>
      </w:tr>
      <w:tr w:rsidR="00640466" w:rsidRPr="00BA784D" w14:paraId="5E984D04" w14:textId="77777777">
        <w:trPr>
          <w:trHeight w:val="397"/>
        </w:trPr>
        <w:tc>
          <w:tcPr>
            <w:tcW w:w="1969" w:type="dxa"/>
            <w:vAlign w:val="center"/>
          </w:tcPr>
          <w:p w14:paraId="69DCBBAE" w14:textId="511DB805" w:rsidR="00640466" w:rsidRPr="00BA784D" w:rsidRDefault="00640466"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2022 (CNTAIPPDPF y CNTAIPPDPE 2023)</w:t>
            </w:r>
          </w:p>
        </w:tc>
        <w:tc>
          <w:tcPr>
            <w:tcW w:w="6859" w:type="dxa"/>
            <w:vAlign w:val="center"/>
          </w:tcPr>
          <w:p w14:paraId="54190316" w14:textId="7C296C8F" w:rsidR="00640466" w:rsidRPr="00BA784D" w:rsidRDefault="0054350A"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90</w:t>
            </w:r>
            <w:r w:rsidR="00640466" w:rsidRPr="00BA784D">
              <w:rPr>
                <w:rFonts w:ascii="Times New Roman" w:eastAsia="Times New Roman" w:hAnsi="Times New Roman" w:cs="Times New Roman"/>
                <w:sz w:val="24"/>
                <w:szCs w:val="24"/>
              </w:rPr>
              <w:t>%</w:t>
            </w:r>
          </w:p>
        </w:tc>
      </w:tr>
      <w:tr w:rsidR="00640466" w:rsidRPr="00BA784D" w14:paraId="2FED634C" w14:textId="77777777">
        <w:trPr>
          <w:trHeight w:val="397"/>
        </w:trPr>
        <w:tc>
          <w:tcPr>
            <w:tcW w:w="1969" w:type="dxa"/>
            <w:vAlign w:val="center"/>
          </w:tcPr>
          <w:p w14:paraId="1799E980" w14:textId="5C36947F" w:rsidR="00640466" w:rsidRPr="00BA784D" w:rsidRDefault="00640466"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2023 (CNTAIPPDPF y CNTAIPPDPE 2024)</w:t>
            </w:r>
          </w:p>
        </w:tc>
        <w:tc>
          <w:tcPr>
            <w:tcW w:w="6859" w:type="dxa"/>
            <w:vAlign w:val="center"/>
          </w:tcPr>
          <w:p w14:paraId="069F7F90" w14:textId="34EBB15E" w:rsidR="00640466" w:rsidRPr="00BA784D" w:rsidRDefault="0054350A"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95</w:t>
            </w:r>
            <w:r w:rsidR="00640466" w:rsidRPr="00BA784D">
              <w:rPr>
                <w:rFonts w:ascii="Times New Roman" w:eastAsia="Times New Roman" w:hAnsi="Times New Roman" w:cs="Times New Roman"/>
                <w:sz w:val="24"/>
                <w:szCs w:val="24"/>
              </w:rPr>
              <w:t>%</w:t>
            </w:r>
          </w:p>
        </w:tc>
      </w:tr>
      <w:tr w:rsidR="00640466" w:rsidRPr="00BA784D" w14:paraId="5E8BA2B6" w14:textId="77777777">
        <w:trPr>
          <w:trHeight w:val="397"/>
        </w:trPr>
        <w:tc>
          <w:tcPr>
            <w:tcW w:w="1969" w:type="dxa"/>
            <w:vAlign w:val="center"/>
          </w:tcPr>
          <w:p w14:paraId="4A492A69" w14:textId="510025D5" w:rsidR="00640466" w:rsidRPr="00BA784D" w:rsidRDefault="00640466"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 xml:space="preserve">Meta 2024 (CNTAIPPDPF </w:t>
            </w:r>
            <w:r w:rsidRPr="00BA784D">
              <w:rPr>
                <w:rFonts w:ascii="Times New Roman" w:eastAsia="Times New Roman" w:hAnsi="Times New Roman" w:cs="Times New Roman"/>
                <w:smallCaps/>
                <w:sz w:val="24"/>
                <w:szCs w:val="24"/>
              </w:rPr>
              <w:lastRenderedPageBreak/>
              <w:t>y CNTAIPPDPE 2025)</w:t>
            </w:r>
          </w:p>
        </w:tc>
        <w:tc>
          <w:tcPr>
            <w:tcW w:w="6859" w:type="dxa"/>
            <w:vAlign w:val="center"/>
          </w:tcPr>
          <w:p w14:paraId="73ECCD44" w14:textId="0DB84F8C" w:rsidR="00640466" w:rsidRPr="00BA784D" w:rsidRDefault="0054350A"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100</w:t>
            </w:r>
            <w:r w:rsidR="00640466" w:rsidRPr="00BA784D">
              <w:rPr>
                <w:rFonts w:ascii="Times New Roman" w:eastAsia="Times New Roman" w:hAnsi="Times New Roman" w:cs="Times New Roman"/>
                <w:sz w:val="24"/>
                <w:szCs w:val="24"/>
              </w:rPr>
              <w:t>%</w:t>
            </w:r>
          </w:p>
        </w:tc>
      </w:tr>
      <w:tr w:rsidR="00293925" w:rsidRPr="00BA784D" w14:paraId="43A1FC16" w14:textId="77777777">
        <w:trPr>
          <w:trHeight w:val="397"/>
        </w:trPr>
        <w:tc>
          <w:tcPr>
            <w:tcW w:w="1969" w:type="dxa"/>
            <w:vAlign w:val="center"/>
          </w:tcPr>
          <w:p w14:paraId="7C70728B" w14:textId="32620A95" w:rsidR="00293925" w:rsidRPr="00BA784D" w:rsidRDefault="00293925" w:rsidP="00640466">
            <w:pPr>
              <w:spacing w:line="360" w:lineRule="auto"/>
              <w:ind w:left="57"/>
              <w:rPr>
                <w:rFonts w:ascii="Times New Roman" w:eastAsia="Times New Roman" w:hAnsi="Times New Roman" w:cs="Times New Roman"/>
                <w:smallCaps/>
                <w:color w:val="FF0000"/>
                <w:sz w:val="24"/>
                <w:szCs w:val="24"/>
              </w:rPr>
            </w:pPr>
            <w:r w:rsidRPr="00BA784D">
              <w:rPr>
                <w:rFonts w:ascii="Times New Roman" w:eastAsia="Times New Roman" w:hAnsi="Times New Roman" w:cs="Times New Roman"/>
                <w:smallCaps/>
                <w:sz w:val="24"/>
                <w:szCs w:val="24"/>
              </w:rPr>
              <w:t>Meta 2025 (CNTAIPPDPF y CNTAIPPDPE 2026)</w:t>
            </w:r>
          </w:p>
        </w:tc>
        <w:tc>
          <w:tcPr>
            <w:tcW w:w="6859" w:type="dxa"/>
            <w:vAlign w:val="center"/>
          </w:tcPr>
          <w:p w14:paraId="00E7472B" w14:textId="45D717C8" w:rsidR="00293925" w:rsidRPr="00BA784D" w:rsidRDefault="00293925" w:rsidP="00640466">
            <w:pPr>
              <w:spacing w:line="360" w:lineRule="auto"/>
              <w:rPr>
                <w:rFonts w:ascii="Times New Roman" w:eastAsia="Times New Roman" w:hAnsi="Times New Roman" w:cs="Times New Roman"/>
                <w:color w:val="FF0000"/>
                <w:sz w:val="24"/>
                <w:szCs w:val="24"/>
              </w:rPr>
            </w:pPr>
            <w:r w:rsidRPr="00BA784D">
              <w:rPr>
                <w:rFonts w:ascii="Times New Roman" w:eastAsia="Times New Roman" w:hAnsi="Times New Roman" w:cs="Times New Roman"/>
                <w:sz w:val="24"/>
                <w:szCs w:val="24"/>
              </w:rPr>
              <w:t>100%</w:t>
            </w:r>
          </w:p>
        </w:tc>
      </w:tr>
      <w:tr w:rsidR="00293925" w:rsidRPr="00BA784D" w14:paraId="1652F1FD" w14:textId="77777777">
        <w:trPr>
          <w:trHeight w:val="397"/>
        </w:trPr>
        <w:tc>
          <w:tcPr>
            <w:tcW w:w="1969" w:type="dxa"/>
            <w:vAlign w:val="center"/>
          </w:tcPr>
          <w:p w14:paraId="3C516D57" w14:textId="06183A82" w:rsidR="00293925" w:rsidRPr="00BA784D" w:rsidRDefault="00293925" w:rsidP="00640466">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2026 (CNTAIPPDPF y CNTAIPPDPE 2027)</w:t>
            </w:r>
          </w:p>
        </w:tc>
        <w:tc>
          <w:tcPr>
            <w:tcW w:w="6859" w:type="dxa"/>
            <w:vAlign w:val="center"/>
          </w:tcPr>
          <w:p w14:paraId="1ADC73CB" w14:textId="67B83EBA" w:rsidR="00293925" w:rsidRPr="00BA784D" w:rsidRDefault="00293925" w:rsidP="00640466">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100%</w:t>
            </w:r>
          </w:p>
        </w:tc>
      </w:tr>
      <w:tr w:rsidR="00E35B30" w:rsidRPr="00BA784D" w14:paraId="2D4DDB65" w14:textId="77777777">
        <w:trPr>
          <w:trHeight w:val="397"/>
        </w:trPr>
        <w:tc>
          <w:tcPr>
            <w:tcW w:w="1969" w:type="dxa"/>
            <w:vAlign w:val="center"/>
          </w:tcPr>
          <w:p w14:paraId="2DEE0772" w14:textId="77777777" w:rsidR="00E35B30" w:rsidRPr="00BA784D" w:rsidRDefault="0036612A">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Observaciones</w:t>
            </w:r>
          </w:p>
        </w:tc>
        <w:tc>
          <w:tcPr>
            <w:tcW w:w="6859" w:type="dxa"/>
            <w:vAlign w:val="center"/>
          </w:tcPr>
          <w:p w14:paraId="1FA06666"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Catálogo de medidas de accesibilidad y/o ajustes razonables:</w:t>
            </w:r>
          </w:p>
          <w:p w14:paraId="6785238E"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 Instalaciones que permitan la permanencia y el libre desplazamiento de personas con discapacidad, adultos mayores, niños, niñas y mujeres embarazadas</w:t>
            </w:r>
          </w:p>
          <w:p w14:paraId="79B1E9E1"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2. Mobiliario ergonómico para personas con discapacidad, adultos mayores, niños, niñas y mujeres embarazadas</w:t>
            </w:r>
          </w:p>
          <w:p w14:paraId="39666123"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3.Uso de tecnologías de la información que permitan generar condiciones de accesibilidad</w:t>
            </w:r>
          </w:p>
          <w:p w14:paraId="27A9540F"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4. Uso de </w:t>
            </w:r>
            <w:proofErr w:type="spellStart"/>
            <w:r w:rsidRPr="00BA784D">
              <w:rPr>
                <w:rFonts w:ascii="Times New Roman" w:eastAsia="Times New Roman" w:hAnsi="Times New Roman" w:cs="Times New Roman"/>
                <w:sz w:val="24"/>
                <w:szCs w:val="24"/>
              </w:rPr>
              <w:t>audioguías</w:t>
            </w:r>
            <w:proofErr w:type="spellEnd"/>
          </w:p>
          <w:p w14:paraId="260A7CD9"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5.Personal especializado para interpretar lenguas indígenas</w:t>
            </w:r>
          </w:p>
          <w:p w14:paraId="7B64498D"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6.Personal especializado para interpretar lenguaje de señas</w:t>
            </w:r>
          </w:p>
          <w:p w14:paraId="51669351"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7.Personal especializado para traducir el sistema de escritura Braille</w:t>
            </w:r>
          </w:p>
          <w:p w14:paraId="672E763F"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8.Estenografía proyectada</w:t>
            </w:r>
          </w:p>
          <w:p w14:paraId="7C7B3755"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9.Programa de capacitación para el personal en materia de derechos humanos, igualdad, género y no discriminación</w:t>
            </w:r>
          </w:p>
          <w:p w14:paraId="1E06C007"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10.Protocolos de actuación para atender a grupos en situación de vulnerabilidad</w:t>
            </w:r>
          </w:p>
          <w:p w14:paraId="040181AC" w14:textId="77777777" w:rsidR="00E35B30" w:rsidRPr="00BA784D" w:rsidRDefault="0036612A">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11.Elaboración de diagnósticos en materia de igualdad y no discriminación</w:t>
            </w:r>
          </w:p>
          <w:p w14:paraId="48D84EA5" w14:textId="77777777" w:rsidR="00E35B30" w:rsidRPr="00BA784D" w:rsidRDefault="0036612A">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12.Otro tipo de medidas</w:t>
            </w:r>
          </w:p>
        </w:tc>
      </w:tr>
      <w:tr w:rsidR="00FC2A4F" w:rsidRPr="00BA784D" w14:paraId="56AC0724" w14:textId="77777777">
        <w:trPr>
          <w:trHeight w:val="397"/>
        </w:trPr>
        <w:tc>
          <w:tcPr>
            <w:tcW w:w="1969" w:type="dxa"/>
            <w:vAlign w:val="center"/>
          </w:tcPr>
          <w:p w14:paraId="482F46A4" w14:textId="1D73A199" w:rsidR="00FC2A4F" w:rsidRPr="00BA784D" w:rsidRDefault="00FC2A4F" w:rsidP="00FC2A4F">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lastRenderedPageBreak/>
              <w:t>comportamiento esperado</w:t>
            </w:r>
          </w:p>
        </w:tc>
        <w:tc>
          <w:tcPr>
            <w:tcW w:w="6859" w:type="dxa"/>
            <w:vAlign w:val="center"/>
          </w:tcPr>
          <w:p w14:paraId="58B5EF59" w14:textId="72D0684D" w:rsidR="00FC2A4F" w:rsidRPr="00BA784D" w:rsidRDefault="0089608F" w:rsidP="00FC2A4F">
            <w:pPr>
              <w:widowControl/>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Ascendente</w:t>
            </w:r>
          </w:p>
        </w:tc>
      </w:tr>
    </w:tbl>
    <w:p w14:paraId="35B520B7" w14:textId="77777777" w:rsidR="00293925" w:rsidRPr="00BA784D" w:rsidRDefault="00293925">
      <w:r w:rsidRPr="00BA784D">
        <w:br w:type="page"/>
      </w:r>
    </w:p>
    <w:tbl>
      <w:tblPr>
        <w:tblStyle w:val="1"/>
        <w:tblW w:w="9053"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547"/>
        <w:gridCol w:w="2987"/>
        <w:gridCol w:w="3519"/>
      </w:tblGrid>
      <w:tr w:rsidR="00E35B30" w:rsidRPr="00BA784D" w14:paraId="2DF2E594" w14:textId="77777777" w:rsidTr="00540706">
        <w:trPr>
          <w:trHeight w:val="289"/>
        </w:trPr>
        <w:tc>
          <w:tcPr>
            <w:tcW w:w="9053" w:type="dxa"/>
            <w:gridSpan w:val="3"/>
          </w:tcPr>
          <w:p w14:paraId="0D0257E7" w14:textId="7D88D82A" w:rsidR="00E35B30" w:rsidRPr="00BA784D" w:rsidRDefault="0036612A">
            <w:pPr>
              <w:pStyle w:val="Ttulo4"/>
              <w:spacing w:line="360" w:lineRule="auto"/>
              <w:ind w:firstLine="100"/>
              <w:jc w:val="both"/>
              <w:rPr>
                <w:rFonts w:ascii="Times New Roman" w:eastAsia="Times New Roman" w:hAnsi="Times New Roman" w:cs="Times New Roman"/>
              </w:rPr>
            </w:pPr>
            <w:r w:rsidRPr="00BA784D">
              <w:lastRenderedPageBreak/>
              <w:br w:type="page"/>
            </w:r>
            <w:bookmarkStart w:id="65" w:name="_Toc102051257"/>
            <w:r w:rsidRPr="00BA784D">
              <w:rPr>
                <w:rFonts w:ascii="Times New Roman" w:eastAsia="Times New Roman" w:hAnsi="Times New Roman" w:cs="Times New Roman"/>
              </w:rPr>
              <w:t>FICHA INDICADOR TRANSVERSAL C.1 Índice de fortalezas institucionales en los Organismos Garantes.</w:t>
            </w:r>
            <w:bookmarkEnd w:id="65"/>
          </w:p>
        </w:tc>
      </w:tr>
      <w:tr w:rsidR="00E35B30" w:rsidRPr="00BA784D" w14:paraId="6BB93F1E" w14:textId="77777777" w:rsidTr="00540706">
        <w:trPr>
          <w:trHeight w:val="279"/>
        </w:trPr>
        <w:tc>
          <w:tcPr>
            <w:tcW w:w="2547" w:type="dxa"/>
            <w:shd w:val="clear" w:color="auto" w:fill="767171"/>
            <w:vAlign w:val="center"/>
          </w:tcPr>
          <w:p w14:paraId="5A5E1C21" w14:textId="77777777" w:rsidR="00E35B30" w:rsidRPr="00BA784D" w:rsidRDefault="0036612A">
            <w:pPr>
              <w:spacing w:line="360" w:lineRule="auto"/>
              <w:jc w:val="center"/>
              <w:rPr>
                <w:rFonts w:ascii="Times New Roman" w:eastAsia="Times New Roman" w:hAnsi="Times New Roman" w:cs="Times New Roman"/>
                <w:sz w:val="24"/>
                <w:szCs w:val="24"/>
              </w:rPr>
            </w:pPr>
            <w:r w:rsidRPr="00BA784D">
              <w:rPr>
                <w:rFonts w:ascii="Times New Roman" w:eastAsia="Times New Roman" w:hAnsi="Times New Roman" w:cs="Times New Roman"/>
                <w:color w:val="FFFFFF"/>
                <w:sz w:val="24"/>
                <w:szCs w:val="24"/>
              </w:rPr>
              <w:t>ELEMENTO</w:t>
            </w:r>
          </w:p>
        </w:tc>
        <w:tc>
          <w:tcPr>
            <w:tcW w:w="6506" w:type="dxa"/>
            <w:gridSpan w:val="2"/>
            <w:shd w:val="clear" w:color="auto" w:fill="767171"/>
            <w:vAlign w:val="center"/>
          </w:tcPr>
          <w:p w14:paraId="676A151F" w14:textId="77777777" w:rsidR="00E35B30" w:rsidRPr="00BA784D" w:rsidRDefault="0036612A">
            <w:pPr>
              <w:spacing w:line="360" w:lineRule="auto"/>
              <w:jc w:val="center"/>
              <w:rPr>
                <w:rFonts w:ascii="Times New Roman" w:eastAsia="Times New Roman" w:hAnsi="Times New Roman" w:cs="Times New Roman"/>
                <w:color w:val="FFFFFF"/>
                <w:sz w:val="24"/>
                <w:szCs w:val="24"/>
              </w:rPr>
            </w:pPr>
            <w:r w:rsidRPr="00BA784D">
              <w:rPr>
                <w:rFonts w:ascii="Times New Roman" w:eastAsia="Times New Roman" w:hAnsi="Times New Roman" w:cs="Times New Roman"/>
                <w:b/>
                <w:color w:val="FFFFFF"/>
                <w:sz w:val="24"/>
                <w:szCs w:val="24"/>
              </w:rPr>
              <w:t>CARACTERÍSTICA</w:t>
            </w:r>
          </w:p>
        </w:tc>
      </w:tr>
      <w:tr w:rsidR="00E35B30" w:rsidRPr="00BA784D" w14:paraId="14B6E00E" w14:textId="77777777" w:rsidTr="00540706">
        <w:trPr>
          <w:trHeight w:val="279"/>
        </w:trPr>
        <w:tc>
          <w:tcPr>
            <w:tcW w:w="2547" w:type="dxa"/>
          </w:tcPr>
          <w:p w14:paraId="3CB76194" w14:textId="77777777" w:rsidR="00E35B30" w:rsidRPr="00BA784D" w:rsidRDefault="0036612A">
            <w:pPr>
              <w:spacing w:line="360" w:lineRule="auto"/>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Eje</w:t>
            </w:r>
          </w:p>
        </w:tc>
        <w:tc>
          <w:tcPr>
            <w:tcW w:w="6506" w:type="dxa"/>
            <w:gridSpan w:val="2"/>
          </w:tcPr>
          <w:p w14:paraId="62273205"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C. Profesionalización y Fortalecimiento Institucional</w:t>
            </w:r>
          </w:p>
        </w:tc>
      </w:tr>
      <w:tr w:rsidR="00E35B30" w:rsidRPr="00BA784D" w14:paraId="0C0D0ABC" w14:textId="77777777" w:rsidTr="00540706">
        <w:trPr>
          <w:trHeight w:val="279"/>
        </w:trPr>
        <w:tc>
          <w:tcPr>
            <w:tcW w:w="2547" w:type="dxa"/>
          </w:tcPr>
          <w:p w14:paraId="46BE44B0"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Objetivo</w:t>
            </w:r>
          </w:p>
        </w:tc>
        <w:tc>
          <w:tcPr>
            <w:tcW w:w="6506" w:type="dxa"/>
            <w:gridSpan w:val="2"/>
          </w:tcPr>
          <w:p w14:paraId="0C5DF858"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C.1 Fortalecer institucionalmente a los Organismos Garantes para mejorar sus capacidades en el desarrollo de una cultura de la transparencia y el acceso a la información.</w:t>
            </w:r>
          </w:p>
        </w:tc>
      </w:tr>
      <w:tr w:rsidR="00E35B30" w:rsidRPr="00BA784D" w14:paraId="6EA51E43" w14:textId="77777777" w:rsidTr="00540706">
        <w:trPr>
          <w:trHeight w:val="279"/>
        </w:trPr>
        <w:tc>
          <w:tcPr>
            <w:tcW w:w="2547" w:type="dxa"/>
          </w:tcPr>
          <w:p w14:paraId="6B617BB3" w14:textId="77777777" w:rsidR="00E35B30" w:rsidRPr="00BA784D" w:rsidRDefault="0036612A">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Descripción general</w:t>
            </w:r>
          </w:p>
        </w:tc>
        <w:tc>
          <w:tcPr>
            <w:tcW w:w="6506" w:type="dxa"/>
            <w:gridSpan w:val="2"/>
          </w:tcPr>
          <w:p w14:paraId="15D38514" w14:textId="77777777" w:rsidR="00E35B30" w:rsidRPr="00BA784D" w:rsidRDefault="0036612A">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Medir la existencia de elementos de planeación y evaluación, así como elementos desarrollo de una cultura para la profesionalización de la transparencia y el acceso a la información; componentes que al encontrarse en los Organismos Garantes denotan desarrollo institucional</w:t>
            </w:r>
          </w:p>
        </w:tc>
      </w:tr>
      <w:tr w:rsidR="0080256C" w:rsidRPr="00BA784D" w14:paraId="118A1576" w14:textId="77777777" w:rsidTr="00540706">
        <w:trPr>
          <w:trHeight w:val="279"/>
        </w:trPr>
        <w:tc>
          <w:tcPr>
            <w:tcW w:w="2547" w:type="dxa"/>
          </w:tcPr>
          <w:p w14:paraId="4F86F3EA" w14:textId="77777777" w:rsidR="0080256C" w:rsidRPr="00BA784D" w:rsidRDefault="0080256C" w:rsidP="0080256C">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Método de cálculo</w:t>
            </w:r>
          </w:p>
        </w:tc>
        <w:tc>
          <w:tcPr>
            <w:tcW w:w="6506" w:type="dxa"/>
            <w:gridSpan w:val="2"/>
            <w:shd w:val="clear" w:color="auto" w:fill="FFFFFF"/>
          </w:tcPr>
          <w:p w14:paraId="7EBCA4B4" w14:textId="745A1F36" w:rsidR="0080256C" w:rsidRDefault="0027114E" w:rsidP="0080256C">
            <w:pPr>
              <w:spacing w:line="360" w:lineRule="auto"/>
              <w:rPr>
                <w:rFonts w:ascii="Times New Roman" w:eastAsia="Times New Roman" w:hAnsi="Times New Roman" w:cs="Times New Roman"/>
                <w:sz w:val="24"/>
                <w:szCs w:val="24"/>
              </w:rPr>
            </w:pPr>
            <m:oMathPara>
              <m:oMath>
                <m:f>
                  <m:fPr>
                    <m:ctrlPr>
                      <w:rPr>
                        <w:rFonts w:ascii="Cambria Math" w:hAnsi="Cambria Math" w:cs="Times New Roman"/>
                        <w:i/>
                        <w:color w:val="000000"/>
                        <w:sz w:val="24"/>
                        <w:szCs w:val="24"/>
                      </w:rPr>
                    </m:ctrlPr>
                  </m:fPr>
                  <m:num>
                    <m:d>
                      <m:dPr>
                        <m:ctrlPr>
                          <w:rPr>
                            <w:rFonts w:ascii="Cambria Math" w:hAnsi="Cambria Math" w:cs="Times New Roman"/>
                            <w:i/>
                            <w:color w:val="000000"/>
                            <w:sz w:val="24"/>
                            <w:szCs w:val="24"/>
                          </w:rPr>
                        </m:ctrlPr>
                      </m:dPr>
                      <m:e>
                        <m:f>
                          <m:fPr>
                            <m:ctrlPr>
                              <w:rPr>
                                <w:rFonts w:ascii="Cambria Math" w:hAnsi="Cambria Math" w:cs="Times New Roman"/>
                                <w:i/>
                                <w:color w:val="000000"/>
                                <w:sz w:val="24"/>
                                <w:szCs w:val="24"/>
                              </w:rPr>
                            </m:ctrlPr>
                          </m:fPr>
                          <m:num>
                            <m:sSubSup>
                              <m:sSubSupPr>
                                <m:ctrlPr>
                                  <w:rPr>
                                    <w:rFonts w:ascii="Cambria Math" w:hAnsi="Cambria Math" w:cs="Times New Roman"/>
                                    <w:i/>
                                    <w:color w:val="000000"/>
                                    <w:sz w:val="24"/>
                                    <w:szCs w:val="24"/>
                                  </w:rPr>
                                </m:ctrlPr>
                              </m:sSubSupPr>
                              <m:e>
                                <m:r>
                                  <w:rPr>
                                    <w:rFonts w:ascii="Cambria Math" w:hAnsi="Cambria Math"/>
                                    <w:color w:val="000000"/>
                                  </w:rPr>
                                  <m:t>Σ</m:t>
                                </m:r>
                              </m:e>
                              <m:sub>
                                <m:r>
                                  <w:rPr>
                                    <w:rFonts w:ascii="Cambria Math" w:hAnsi="Cambria Math"/>
                                    <w:color w:val="000000"/>
                                  </w:rPr>
                                  <m:t>i</m:t>
                                </m:r>
                              </m:sub>
                              <m:sup>
                                <m:r>
                                  <w:rPr>
                                    <w:rFonts w:ascii="Cambria Math" w:eastAsia="Cambria Math" w:hAnsi="Cambria Math" w:cs="Cambria Math"/>
                                    <w:color w:val="000000"/>
                                    <w:sz w:val="18"/>
                                    <w:szCs w:val="18"/>
                                  </w:rPr>
                                  <m:t>33</m:t>
                                </m:r>
                              </m:sup>
                            </m:sSubSup>
                            <m:r>
                              <w:rPr>
                                <w:rFonts w:ascii="Cambria Math" w:hAnsi="Cambria Math"/>
                                <w:color w:val="000000"/>
                              </w:rPr>
                              <m:t>E</m:t>
                            </m:r>
                            <m:sSub>
                              <m:sSubPr>
                                <m:ctrlPr>
                                  <w:rPr>
                                    <w:rFonts w:ascii="Cambria Math" w:hAnsi="Cambria Math" w:cs="Times New Roman"/>
                                    <w:i/>
                                    <w:color w:val="000000"/>
                                    <w:sz w:val="24"/>
                                    <w:szCs w:val="24"/>
                                  </w:rPr>
                                </m:ctrlPr>
                              </m:sSubPr>
                              <m:e>
                                <m:r>
                                  <w:rPr>
                                    <w:rFonts w:ascii="Cambria Math" w:hAnsi="Cambria Math"/>
                                    <w:color w:val="000000"/>
                                  </w:rPr>
                                  <m:t>v</m:t>
                                </m:r>
                              </m:e>
                              <m:sub>
                                <m:r>
                                  <w:rPr>
                                    <w:rFonts w:ascii="Cambria Math" w:hAnsi="Cambria Math"/>
                                    <w:color w:val="000000"/>
                                  </w:rPr>
                                  <m:t>i</m:t>
                                </m:r>
                              </m:sub>
                            </m:sSub>
                          </m:num>
                          <m:den>
                            <m:r>
                              <w:rPr>
                                <w:rFonts w:ascii="Cambria Math" w:hAnsi="Cambria Math"/>
                                <w:color w:val="000000"/>
                              </w:rPr>
                              <m:t>33</m:t>
                            </m:r>
                          </m:den>
                        </m:f>
                      </m:e>
                    </m:d>
                    <m:r>
                      <w:rPr>
                        <w:rFonts w:ascii="Cambria Math" w:hAnsi="Cambria Math"/>
                        <w:color w:val="000000"/>
                      </w:rPr>
                      <m:t>+</m:t>
                    </m:r>
                    <m:d>
                      <m:dPr>
                        <m:ctrlPr>
                          <w:rPr>
                            <w:rFonts w:ascii="Cambria Math" w:hAnsi="Cambria Math" w:cs="Times New Roman"/>
                            <w:i/>
                            <w:color w:val="000000"/>
                            <w:sz w:val="24"/>
                            <w:szCs w:val="24"/>
                          </w:rPr>
                        </m:ctrlPr>
                      </m:dPr>
                      <m:e>
                        <m:f>
                          <m:fPr>
                            <m:ctrlPr>
                              <w:rPr>
                                <w:rFonts w:ascii="Cambria Math" w:hAnsi="Cambria Math" w:cs="Times New Roman"/>
                                <w:i/>
                                <w:color w:val="000000"/>
                                <w:sz w:val="24"/>
                                <w:szCs w:val="24"/>
                              </w:rPr>
                            </m:ctrlPr>
                          </m:fPr>
                          <m:num>
                            <m:sSubSup>
                              <m:sSubSupPr>
                                <m:ctrlPr>
                                  <w:rPr>
                                    <w:rFonts w:ascii="Cambria Math" w:hAnsi="Cambria Math" w:cs="Times New Roman"/>
                                    <w:i/>
                                    <w:color w:val="000000"/>
                                    <w:sz w:val="24"/>
                                    <w:szCs w:val="24"/>
                                  </w:rPr>
                                </m:ctrlPr>
                              </m:sSubSupPr>
                              <m:e>
                                <m:r>
                                  <w:rPr>
                                    <w:rFonts w:ascii="Cambria Math" w:hAnsi="Cambria Math"/>
                                    <w:color w:val="000000"/>
                                  </w:rPr>
                                  <m:t>Σ</m:t>
                                </m:r>
                              </m:e>
                              <m:sub>
                                <m:r>
                                  <w:rPr>
                                    <w:rFonts w:ascii="Cambria Math" w:hAnsi="Cambria Math"/>
                                    <w:color w:val="000000"/>
                                  </w:rPr>
                                  <m:t>i</m:t>
                                </m:r>
                              </m:sub>
                              <m:sup>
                                <m:r>
                                  <w:rPr>
                                    <w:rFonts w:ascii="Cambria Math" w:eastAsia="Cambria Math" w:hAnsi="Cambria Math" w:cs="Cambria Math"/>
                                    <w:color w:val="000000"/>
                                    <w:sz w:val="18"/>
                                    <w:szCs w:val="18"/>
                                  </w:rPr>
                                  <m:t>33</m:t>
                                </m:r>
                              </m:sup>
                            </m:sSubSup>
                            <m:sSub>
                              <m:sSubPr>
                                <m:ctrlPr>
                                  <w:rPr>
                                    <w:rFonts w:ascii="Cambria Math" w:hAnsi="Cambria Math" w:cs="Times New Roman"/>
                                    <w:i/>
                                    <w:color w:val="000000"/>
                                    <w:sz w:val="24"/>
                                    <w:szCs w:val="24"/>
                                  </w:rPr>
                                </m:ctrlPr>
                              </m:sSubPr>
                              <m:e>
                                <m:r>
                                  <w:rPr>
                                    <w:rFonts w:ascii="Cambria Math" w:hAnsi="Cambria Math"/>
                                    <w:color w:val="000000"/>
                                  </w:rPr>
                                  <m:t>PE</m:t>
                                </m:r>
                              </m:e>
                              <m:sub>
                                <m:r>
                                  <w:rPr>
                                    <w:rFonts w:ascii="Cambria Math" w:hAnsi="Cambria Math"/>
                                    <w:color w:val="000000"/>
                                  </w:rPr>
                                  <m:t>i</m:t>
                                </m:r>
                              </m:sub>
                            </m:sSub>
                          </m:num>
                          <m:den>
                            <m:r>
                              <w:rPr>
                                <w:rFonts w:ascii="Cambria Math" w:hAnsi="Cambria Math"/>
                                <w:color w:val="000000"/>
                              </w:rPr>
                              <m:t>33</m:t>
                            </m:r>
                          </m:den>
                        </m:f>
                      </m:e>
                    </m:d>
                  </m:num>
                  <m:den>
                    <m:r>
                      <w:rPr>
                        <w:rFonts w:ascii="Cambria Math" w:hAnsi="Cambria Math"/>
                        <w:color w:val="000000"/>
                      </w:rPr>
                      <m:t>2</m:t>
                    </m:r>
                  </m:den>
                </m:f>
                <m:r>
                  <w:rPr>
                    <w:rFonts w:ascii="Cambria Math" w:hAnsi="Cambria Math"/>
                    <w:color w:val="000000"/>
                  </w:rPr>
                  <m:t>×100</m:t>
                </m:r>
              </m:oMath>
            </m:oMathPara>
          </w:p>
          <w:p w14:paraId="2D42BD04" w14:textId="77777777" w:rsidR="00FD4F8F" w:rsidRPr="00BA784D" w:rsidRDefault="00FD4F8F" w:rsidP="0080256C">
            <w:pPr>
              <w:spacing w:line="360" w:lineRule="auto"/>
              <w:rPr>
                <w:rFonts w:ascii="Times New Roman" w:eastAsia="Times New Roman" w:hAnsi="Times New Roman" w:cs="Times New Roman"/>
                <w:sz w:val="24"/>
                <w:szCs w:val="24"/>
              </w:rPr>
            </w:pPr>
          </w:p>
          <w:p w14:paraId="78206DFA" w14:textId="77777777" w:rsidR="0080256C" w:rsidRPr="00BA784D"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Donde:</w:t>
            </w:r>
          </w:p>
          <w:p w14:paraId="0F27F9E2" w14:textId="2A91252B" w:rsidR="0080256C" w:rsidRPr="00BA784D" w:rsidRDefault="0027114E" w:rsidP="0080256C">
            <w:pPr>
              <w:spacing w:line="360" w:lineRule="auto"/>
              <w:rPr>
                <w:rFonts w:ascii="Times New Roman" w:eastAsia="Times New Roman" w:hAnsi="Times New Roman" w:cs="Times New Roman"/>
                <w:sz w:val="24"/>
                <w:szCs w:val="24"/>
              </w:rPr>
            </w:pPr>
            <m:oMath>
              <m:sSub>
                <m:sSubPr>
                  <m:ctrlPr>
                    <w:rPr>
                      <w:rFonts w:ascii="Times New Roman" w:eastAsia="Times New Roman" w:hAnsi="Times New Roman" w:cs="Times New Roman"/>
                      <w:color w:val="000000"/>
                      <w:sz w:val="24"/>
                      <w:szCs w:val="24"/>
                    </w:rPr>
                  </m:ctrlPr>
                </m:sSubPr>
                <m:e>
                  <m:r>
                    <w:rPr>
                      <w:rFonts w:ascii="Times New Roman" w:eastAsia="Times New Roman" w:hAnsi="Times New Roman" w:cs="Times New Roman"/>
                      <w:color w:val="000000"/>
                      <w:sz w:val="24"/>
                      <w:szCs w:val="24"/>
                    </w:rPr>
                    <m:t>Ev</m:t>
                  </m:r>
                </m:e>
                <m:sub>
                  <m:r>
                    <w:rPr>
                      <w:rFonts w:ascii="Times New Roman" w:eastAsia="Times New Roman" w:hAnsi="Times New Roman" w:cs="Times New Roman"/>
                      <w:color w:val="000000"/>
                      <w:sz w:val="24"/>
                      <w:szCs w:val="24"/>
                    </w:rPr>
                    <m:t>i</m:t>
                  </m:r>
                </m:sub>
              </m:sSub>
            </m:oMath>
            <w:r w:rsidR="0080256C" w:rsidRPr="00BA784D">
              <w:rPr>
                <w:rFonts w:ascii="Times New Roman" w:eastAsia="Times New Roman" w:hAnsi="Times New Roman" w:cs="Times New Roman"/>
                <w:sz w:val="24"/>
                <w:szCs w:val="24"/>
              </w:rPr>
              <w:t>, se refiere al número de Organismos Garantes que cuentan con al menos un elemento de evaluación institucional. Se incluyen 4 elementos:</w:t>
            </w:r>
          </w:p>
          <w:p w14:paraId="0BAA1E1C" w14:textId="77777777" w:rsidR="0080256C" w:rsidRPr="00BA784D"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Elementos de evaluación del personal;</w:t>
            </w:r>
          </w:p>
          <w:p w14:paraId="1851C4D5" w14:textId="77777777" w:rsidR="0080256C" w:rsidRPr="00BA784D"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Elementos de evaluación presupuestal;</w:t>
            </w:r>
          </w:p>
          <w:p w14:paraId="13F8DCC0" w14:textId="77777777" w:rsidR="0080256C" w:rsidRPr="00BA784D"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Elementos de evaluación de desempeño institucional;</w:t>
            </w:r>
          </w:p>
          <w:p w14:paraId="4D395C29" w14:textId="77777777" w:rsidR="0080256C" w:rsidRPr="00BA784D"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Otros elementos de evaluación.</w:t>
            </w:r>
          </w:p>
          <w:p w14:paraId="2C916364" w14:textId="77777777" w:rsidR="0080256C" w:rsidRPr="00BA784D" w:rsidRDefault="0080256C" w:rsidP="0080256C">
            <w:pPr>
              <w:spacing w:line="360" w:lineRule="auto"/>
              <w:rPr>
                <w:rFonts w:ascii="Times New Roman" w:eastAsia="Times New Roman" w:hAnsi="Times New Roman" w:cs="Times New Roman"/>
                <w:sz w:val="24"/>
                <w:szCs w:val="24"/>
              </w:rPr>
            </w:pPr>
          </w:p>
          <w:p w14:paraId="609ECCA4" w14:textId="6103CE8A" w:rsidR="0080256C" w:rsidRPr="00BA784D" w:rsidRDefault="0027114E" w:rsidP="0080256C">
            <w:pPr>
              <w:spacing w:line="360" w:lineRule="auto"/>
              <w:rPr>
                <w:rFonts w:ascii="Times New Roman" w:eastAsia="Times New Roman" w:hAnsi="Times New Roman" w:cs="Times New Roman"/>
                <w:sz w:val="24"/>
                <w:szCs w:val="24"/>
              </w:rPr>
            </w:pPr>
            <m:oMath>
              <m:sSub>
                <m:sSubPr>
                  <m:ctrlPr>
                    <w:rPr>
                      <w:rFonts w:ascii="Times New Roman" w:eastAsia="Times New Roman" w:hAnsi="Times New Roman" w:cs="Times New Roman"/>
                      <w:color w:val="000000"/>
                      <w:sz w:val="24"/>
                      <w:szCs w:val="24"/>
                    </w:rPr>
                  </m:ctrlPr>
                </m:sSubPr>
                <m:e>
                  <m:r>
                    <w:rPr>
                      <w:rFonts w:ascii="Times New Roman" w:eastAsia="Times New Roman" w:hAnsi="Times New Roman" w:cs="Times New Roman"/>
                      <w:color w:val="000000"/>
                      <w:sz w:val="24"/>
                      <w:szCs w:val="24"/>
                    </w:rPr>
                    <m:t>PE</m:t>
                  </m:r>
                </m:e>
                <m:sub>
                  <m:r>
                    <w:rPr>
                      <w:rFonts w:ascii="Times New Roman" w:eastAsia="Times New Roman" w:hAnsi="Times New Roman" w:cs="Times New Roman"/>
                      <w:color w:val="000000"/>
                      <w:sz w:val="24"/>
                      <w:szCs w:val="24"/>
                    </w:rPr>
                    <m:t>i</m:t>
                  </m:r>
                </m:sub>
              </m:sSub>
            </m:oMath>
            <w:r w:rsidR="0080256C" w:rsidRPr="00BA784D">
              <w:rPr>
                <w:rFonts w:ascii="Times New Roman" w:eastAsia="Times New Roman" w:hAnsi="Times New Roman" w:cs="Times New Roman"/>
                <w:sz w:val="24"/>
                <w:szCs w:val="24"/>
              </w:rPr>
              <w:t>, se refiere a</w:t>
            </w:r>
            <w:r w:rsidR="002A3BD1" w:rsidRPr="00BA784D">
              <w:rPr>
                <w:rFonts w:ascii="Times New Roman" w:eastAsia="Times New Roman" w:hAnsi="Times New Roman" w:cs="Times New Roman"/>
                <w:sz w:val="24"/>
                <w:szCs w:val="24"/>
              </w:rPr>
              <w:t>l número</w:t>
            </w:r>
            <w:r w:rsidR="0080256C" w:rsidRPr="00BA784D">
              <w:rPr>
                <w:rFonts w:ascii="Times New Roman" w:eastAsia="Times New Roman" w:hAnsi="Times New Roman" w:cs="Times New Roman"/>
                <w:sz w:val="24"/>
                <w:szCs w:val="24"/>
              </w:rPr>
              <w:t xml:space="preserve"> de Organismos Garantes que reportaron contar con al menos uno de los elementos, mecanismos y/o esquemas de profesionalización. Se incluyen 13 elementos:</w:t>
            </w:r>
          </w:p>
          <w:p w14:paraId="471D9D33" w14:textId="77777777" w:rsidR="0080256C" w:rsidRPr="00BA784D" w:rsidRDefault="0080256C" w:rsidP="0080256C">
            <w:pPr>
              <w:spacing w:line="360" w:lineRule="auto"/>
              <w:rPr>
                <w:rFonts w:ascii="Times New Roman" w:eastAsia="Times New Roman" w:hAnsi="Times New Roman" w:cs="Times New Roman"/>
                <w:sz w:val="24"/>
                <w:szCs w:val="24"/>
              </w:rPr>
            </w:pPr>
          </w:p>
          <w:p w14:paraId="56247D66" w14:textId="77777777" w:rsidR="0080256C" w:rsidRPr="00BA784D"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Servicio Civil de Carrera;</w:t>
            </w:r>
          </w:p>
          <w:p w14:paraId="50EBA405" w14:textId="77777777" w:rsidR="0080256C" w:rsidRPr="00BA784D"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Reclutamiento, selección e inducción;</w:t>
            </w:r>
          </w:p>
          <w:p w14:paraId="7B003838" w14:textId="77777777" w:rsidR="0080256C" w:rsidRPr="00BA784D"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Diseño y selección de pruebas de ingreso;</w:t>
            </w:r>
          </w:p>
          <w:p w14:paraId="5279A578" w14:textId="77777777" w:rsidR="0080256C" w:rsidRPr="00BA784D"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Diseño curricular;</w:t>
            </w:r>
          </w:p>
          <w:p w14:paraId="1FCDC071" w14:textId="77777777" w:rsidR="0080256C" w:rsidRPr="00BA784D"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Actualización de perfiles de puesto;</w:t>
            </w:r>
          </w:p>
          <w:p w14:paraId="335C6C58" w14:textId="77777777" w:rsidR="0080256C" w:rsidRPr="00BA784D"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Diseño y validación de competencias;</w:t>
            </w:r>
          </w:p>
          <w:p w14:paraId="7BB535C5" w14:textId="77777777" w:rsidR="0080256C" w:rsidRPr="00BA784D"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Concursos públicos y abiertos para la contratación;</w:t>
            </w:r>
          </w:p>
          <w:p w14:paraId="71DCC38B" w14:textId="77777777" w:rsidR="0080256C" w:rsidRPr="00BA784D"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Mecanismos de evaluación del desempeño;</w:t>
            </w:r>
          </w:p>
          <w:p w14:paraId="3D46AACD" w14:textId="77777777" w:rsidR="0080256C" w:rsidRPr="00BA784D"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Programas de capacitación;</w:t>
            </w:r>
          </w:p>
          <w:p w14:paraId="5B134553" w14:textId="77777777" w:rsidR="0080256C" w:rsidRPr="00BA784D"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Evaluación de impacto de la capacitación;</w:t>
            </w:r>
          </w:p>
          <w:p w14:paraId="0D576C9A" w14:textId="77777777" w:rsidR="0080256C" w:rsidRPr="00BA784D"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Programas de estímulos y recompensas;</w:t>
            </w:r>
          </w:p>
          <w:p w14:paraId="6DEE158D" w14:textId="77777777" w:rsidR="0080256C" w:rsidRPr="00BA784D"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Separación del servicio;</w:t>
            </w:r>
          </w:p>
          <w:p w14:paraId="4B22CFC8" w14:textId="5C6D22B3" w:rsidR="0080256C" w:rsidRPr="00BA784D"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Otros.</w:t>
            </w:r>
          </w:p>
        </w:tc>
      </w:tr>
      <w:tr w:rsidR="0080256C" w:rsidRPr="00BA784D" w14:paraId="246B939E" w14:textId="77777777" w:rsidTr="00540706">
        <w:trPr>
          <w:trHeight w:val="279"/>
        </w:trPr>
        <w:tc>
          <w:tcPr>
            <w:tcW w:w="2547" w:type="dxa"/>
          </w:tcPr>
          <w:p w14:paraId="7965FAB9" w14:textId="77777777" w:rsidR="0080256C" w:rsidRPr="00BA784D" w:rsidRDefault="0080256C" w:rsidP="0080256C">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lastRenderedPageBreak/>
              <w:t>Periodicidad</w:t>
            </w:r>
          </w:p>
        </w:tc>
        <w:tc>
          <w:tcPr>
            <w:tcW w:w="6506" w:type="dxa"/>
            <w:gridSpan w:val="2"/>
          </w:tcPr>
          <w:p w14:paraId="58508783" w14:textId="77777777" w:rsidR="0080256C" w:rsidRPr="00BA784D" w:rsidRDefault="0080256C" w:rsidP="0080256C">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Anual.</w:t>
            </w:r>
          </w:p>
        </w:tc>
      </w:tr>
      <w:tr w:rsidR="0080256C" w:rsidRPr="00BA784D" w14:paraId="466DEF6F" w14:textId="77777777" w:rsidTr="00540706">
        <w:trPr>
          <w:trHeight w:val="279"/>
        </w:trPr>
        <w:tc>
          <w:tcPr>
            <w:tcW w:w="2547" w:type="dxa"/>
          </w:tcPr>
          <w:p w14:paraId="4E0AE4DF" w14:textId="77777777" w:rsidR="0080256C" w:rsidRPr="00BA784D" w:rsidRDefault="0080256C" w:rsidP="0080256C">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Medios de verificación</w:t>
            </w:r>
          </w:p>
        </w:tc>
        <w:tc>
          <w:tcPr>
            <w:tcW w:w="6506" w:type="dxa"/>
            <w:gridSpan w:val="2"/>
          </w:tcPr>
          <w:p w14:paraId="416DD639" w14:textId="7AA3C12B" w:rsidR="0080256C" w:rsidRPr="00BA784D" w:rsidRDefault="0080256C" w:rsidP="0080256C">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INEGI. </w:t>
            </w:r>
          </w:p>
          <w:p w14:paraId="6BF7ABD5" w14:textId="2067EB41" w:rsidR="0080256C" w:rsidRPr="00BA784D" w:rsidRDefault="0080256C" w:rsidP="0080256C">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Censo Nacional de Transparencia, Acceso a la Información Pública y Protección de Datos Personales Federal (CNTAIPPDPF)</w:t>
            </w:r>
          </w:p>
          <w:p w14:paraId="12FB1C00" w14:textId="6A04FE73" w:rsidR="0080256C" w:rsidRPr="00BA784D" w:rsidRDefault="0080256C" w:rsidP="0080256C">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color w:val="000000"/>
                <w:sz w:val="24"/>
                <w:szCs w:val="24"/>
              </w:rPr>
              <w:t>Censo Nacional de Transparencia, Acceso a la Información Pública y Protección de Datos Personales Estatal (CNTAIPPDPE).</w:t>
            </w:r>
          </w:p>
        </w:tc>
      </w:tr>
      <w:tr w:rsidR="0080256C" w:rsidRPr="00BA784D" w14:paraId="79D78D26" w14:textId="77777777" w:rsidTr="00540706">
        <w:trPr>
          <w:trHeight w:val="279"/>
        </w:trPr>
        <w:tc>
          <w:tcPr>
            <w:tcW w:w="2547" w:type="dxa"/>
            <w:vAlign w:val="center"/>
          </w:tcPr>
          <w:p w14:paraId="02876173" w14:textId="77777777" w:rsidR="0080256C" w:rsidRPr="00BA784D" w:rsidRDefault="0080256C" w:rsidP="0080256C">
            <w:pPr>
              <w:spacing w:line="360" w:lineRule="auto"/>
              <w:ind w:left="288" w:hanging="288"/>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Reactivos utilizados</w:t>
            </w:r>
          </w:p>
        </w:tc>
        <w:tc>
          <w:tcPr>
            <w:tcW w:w="2987" w:type="dxa"/>
          </w:tcPr>
          <w:p w14:paraId="1EB23060" w14:textId="2728E1BC" w:rsidR="0080256C" w:rsidRPr="00BA784D" w:rsidRDefault="0080256C" w:rsidP="0080256C">
            <w:pPr>
              <w:spacing w:line="360" w:lineRule="auto"/>
              <w:jc w:val="both"/>
              <w:rPr>
                <w:rFonts w:ascii="Times New Roman" w:eastAsia="Times New Roman" w:hAnsi="Times New Roman" w:cs="Times New Roman"/>
                <w:i/>
                <w:sz w:val="24"/>
                <w:szCs w:val="24"/>
              </w:rPr>
            </w:pPr>
            <w:r w:rsidRPr="00BA784D">
              <w:rPr>
                <w:rFonts w:ascii="Times New Roman" w:eastAsia="Times New Roman" w:hAnsi="Times New Roman" w:cs="Times New Roman"/>
                <w:i/>
                <w:sz w:val="24"/>
                <w:szCs w:val="24"/>
              </w:rPr>
              <w:t xml:space="preserve">Variable: </w:t>
            </w:r>
            <w:proofErr w:type="spellStart"/>
            <w:r w:rsidRPr="00BA784D">
              <w:rPr>
                <w:rFonts w:ascii="Times New Roman" w:eastAsia="Times New Roman" w:hAnsi="Times New Roman" w:cs="Times New Roman"/>
                <w:i/>
                <w:sz w:val="24"/>
                <w:szCs w:val="24"/>
              </w:rPr>
              <w:t>Ev</w:t>
            </w:r>
            <w:proofErr w:type="spellEnd"/>
          </w:p>
          <w:p w14:paraId="34F6A42D" w14:textId="58B20AF9" w:rsidR="0080256C" w:rsidRPr="00BA784D" w:rsidRDefault="0080256C" w:rsidP="0080256C">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Censo Estatal</w:t>
            </w:r>
            <w:r w:rsidRPr="00BA784D">
              <w:rPr>
                <w:rFonts w:ascii="Times New Roman" w:eastAsia="Times New Roman" w:hAnsi="Times New Roman" w:cs="Times New Roman"/>
                <w:sz w:val="24"/>
                <w:szCs w:val="24"/>
              </w:rPr>
              <w:tab/>
              <w:t>Módulo 01 Sección 04 Pregunta 36</w:t>
            </w:r>
          </w:p>
          <w:p w14:paraId="75051FE5" w14:textId="724E4358" w:rsidR="0080256C" w:rsidRPr="00BA784D" w:rsidRDefault="0080256C" w:rsidP="0080256C">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Censo Federal Módulo 01 Sección 04 Pregunta 33</w:t>
            </w:r>
          </w:p>
        </w:tc>
        <w:tc>
          <w:tcPr>
            <w:tcW w:w="3519" w:type="dxa"/>
          </w:tcPr>
          <w:p w14:paraId="60A59451" w14:textId="7E94774F" w:rsidR="0080256C" w:rsidRPr="00BA784D" w:rsidRDefault="0080256C" w:rsidP="0080256C">
            <w:pPr>
              <w:spacing w:line="360" w:lineRule="auto"/>
              <w:jc w:val="both"/>
              <w:rPr>
                <w:rFonts w:ascii="Times New Roman" w:eastAsia="Times New Roman" w:hAnsi="Times New Roman" w:cs="Times New Roman"/>
                <w:i/>
                <w:sz w:val="24"/>
                <w:szCs w:val="24"/>
              </w:rPr>
            </w:pPr>
            <w:r w:rsidRPr="00BA784D">
              <w:rPr>
                <w:rFonts w:ascii="Times New Roman" w:eastAsia="Times New Roman" w:hAnsi="Times New Roman" w:cs="Times New Roman"/>
                <w:i/>
                <w:sz w:val="24"/>
                <w:szCs w:val="24"/>
              </w:rPr>
              <w:t>Variable: PE</w:t>
            </w:r>
          </w:p>
          <w:p w14:paraId="4B37D8A4" w14:textId="7D70C679" w:rsidR="0080256C" w:rsidRPr="00BA784D" w:rsidRDefault="0080256C" w:rsidP="0080256C">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Censo Estatal</w:t>
            </w:r>
            <w:r w:rsidRPr="00BA784D">
              <w:rPr>
                <w:rFonts w:ascii="Times New Roman" w:eastAsia="Times New Roman" w:hAnsi="Times New Roman" w:cs="Times New Roman"/>
                <w:sz w:val="24"/>
                <w:szCs w:val="24"/>
              </w:rPr>
              <w:tab/>
              <w:t>Módulo 01 Sección 03 Pregunta 24</w:t>
            </w:r>
          </w:p>
          <w:p w14:paraId="387EF707" w14:textId="0AE34C34" w:rsidR="0080256C" w:rsidRPr="00BA784D" w:rsidRDefault="0080256C" w:rsidP="0080256C">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Censo Federal Módulo 01 Sección 03 Pregunta 21</w:t>
            </w:r>
          </w:p>
        </w:tc>
      </w:tr>
      <w:tr w:rsidR="0080256C" w:rsidRPr="00BA784D" w14:paraId="6AEA5813" w14:textId="77777777" w:rsidTr="00540706">
        <w:trPr>
          <w:trHeight w:val="279"/>
        </w:trPr>
        <w:tc>
          <w:tcPr>
            <w:tcW w:w="2547" w:type="dxa"/>
          </w:tcPr>
          <w:p w14:paraId="5D4EE131" w14:textId="77777777" w:rsidR="0080256C" w:rsidRPr="00BA784D" w:rsidRDefault="0080256C" w:rsidP="0080256C">
            <w:pP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 xml:space="preserve">Actores vinculados </w:t>
            </w:r>
            <w:r w:rsidRPr="00BA784D">
              <w:rPr>
                <w:rFonts w:ascii="Times New Roman" w:eastAsia="Times New Roman" w:hAnsi="Times New Roman" w:cs="Times New Roman"/>
                <w:smallCaps/>
                <w:sz w:val="24"/>
                <w:szCs w:val="24"/>
              </w:rPr>
              <w:lastRenderedPageBreak/>
              <w:t>con el indicador</w:t>
            </w:r>
          </w:p>
        </w:tc>
        <w:tc>
          <w:tcPr>
            <w:tcW w:w="6506" w:type="dxa"/>
            <w:gridSpan w:val="2"/>
          </w:tcPr>
          <w:p w14:paraId="3621EE57" w14:textId="77777777" w:rsidR="0080256C" w:rsidRPr="00BA784D" w:rsidRDefault="0080256C" w:rsidP="0080256C">
            <w:pPr>
              <w:spacing w:line="360" w:lineRule="auto"/>
              <w:jc w:val="both"/>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lastRenderedPageBreak/>
              <w:t>Organismos Garantes Locales e INAI.</w:t>
            </w:r>
          </w:p>
          <w:p w14:paraId="4EC15BC4" w14:textId="77777777" w:rsidR="0080256C" w:rsidRPr="00BA784D" w:rsidRDefault="0080256C" w:rsidP="0080256C">
            <w:pPr>
              <w:spacing w:line="360" w:lineRule="auto"/>
              <w:jc w:val="both"/>
              <w:rPr>
                <w:rFonts w:ascii="Times New Roman" w:eastAsia="Times New Roman" w:hAnsi="Times New Roman" w:cs="Times New Roman"/>
                <w:sz w:val="24"/>
                <w:szCs w:val="24"/>
              </w:rPr>
            </w:pPr>
          </w:p>
        </w:tc>
      </w:tr>
      <w:tr w:rsidR="0080256C" w:rsidRPr="00BA784D" w14:paraId="1BE54736" w14:textId="77777777" w:rsidTr="00540706">
        <w:trPr>
          <w:trHeight w:val="279"/>
        </w:trPr>
        <w:tc>
          <w:tcPr>
            <w:tcW w:w="2547" w:type="dxa"/>
            <w:vAlign w:val="center"/>
          </w:tcPr>
          <w:p w14:paraId="3B41C3FE" w14:textId="4CEF23E2" w:rsidR="0080256C" w:rsidRPr="00BA784D" w:rsidRDefault="0080256C" w:rsidP="0080256C">
            <w:pP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lastRenderedPageBreak/>
              <w:t>Línea base (CNTAIPPDPF y CNTAIPPDPE 2020)</w:t>
            </w:r>
          </w:p>
        </w:tc>
        <w:tc>
          <w:tcPr>
            <w:tcW w:w="6506" w:type="dxa"/>
            <w:gridSpan w:val="2"/>
            <w:vAlign w:val="center"/>
          </w:tcPr>
          <w:p w14:paraId="0DCD6ECF" w14:textId="77777777" w:rsidR="00FD4F8F"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 xml:space="preserve">58.50% </w:t>
            </w:r>
            <w:r w:rsidRPr="00BA784D">
              <w:rPr>
                <w:rFonts w:ascii="Times New Roman" w:eastAsia="Times New Roman" w:hAnsi="Times New Roman" w:cs="Times New Roman"/>
                <w:sz w:val="24"/>
                <w:szCs w:val="24"/>
              </w:rPr>
              <w:br/>
            </w:r>
          </w:p>
          <w:p w14:paraId="6508C11C" w14:textId="2473E964" w:rsidR="0080256C" w:rsidRPr="00BA784D" w:rsidRDefault="0027114E" w:rsidP="0080256C">
            <w:pPr>
              <w:spacing w:line="360" w:lineRule="auto"/>
              <w:rPr>
                <w:rFonts w:ascii="Times New Roman" w:eastAsia="Times New Roman" w:hAnsi="Times New Roman" w:cs="Times New Roman"/>
                <w:sz w:val="24"/>
                <w:szCs w:val="24"/>
              </w:rPr>
            </w:pPr>
            <w:hyperlink r:id="rId45" w:history="1">
              <w:r w:rsidR="00FD4F8F" w:rsidRPr="00FD4F8F">
                <w:rPr>
                  <w:rStyle w:val="Hipervnculo"/>
                  <w:rFonts w:ascii="Times New Roman" w:eastAsia="Times New Roman" w:hAnsi="Times New Roman" w:cs="Times New Roman"/>
                  <w:sz w:val="24"/>
                  <w:szCs w:val="24"/>
                </w:rPr>
                <w:t>https://www.inegi.org.mx/programas/cntaippdpf/2020/</w:t>
              </w:r>
            </w:hyperlink>
            <w:r w:rsidR="00FD4F8F" w:rsidRPr="00BA784D">
              <w:rPr>
                <w:rFonts w:ascii="Times New Roman" w:eastAsia="Times New Roman" w:hAnsi="Times New Roman" w:cs="Times New Roman"/>
                <w:sz w:val="24"/>
                <w:szCs w:val="24"/>
              </w:rPr>
              <w:t xml:space="preserve"> y </w:t>
            </w:r>
            <w:hyperlink r:id="rId46" w:history="1">
              <w:r w:rsidR="00FD4F8F" w:rsidRPr="00FD4F8F">
                <w:rPr>
                  <w:rStyle w:val="Hipervnculo"/>
                  <w:rFonts w:ascii="Times New Roman" w:eastAsia="Times New Roman" w:hAnsi="Times New Roman" w:cs="Times New Roman"/>
                  <w:sz w:val="24"/>
                  <w:szCs w:val="24"/>
                </w:rPr>
                <w:t>https://www.inegi.org.mx/programas/cntaippdpe/2020/</w:t>
              </w:r>
            </w:hyperlink>
          </w:p>
        </w:tc>
      </w:tr>
      <w:tr w:rsidR="0080256C" w:rsidRPr="00BA784D" w14:paraId="72FE08D9" w14:textId="77777777" w:rsidTr="00540706">
        <w:trPr>
          <w:trHeight w:val="279"/>
        </w:trPr>
        <w:tc>
          <w:tcPr>
            <w:tcW w:w="2547" w:type="dxa"/>
            <w:vAlign w:val="center"/>
          </w:tcPr>
          <w:p w14:paraId="2D1EA92B" w14:textId="62B67704" w:rsidR="0080256C" w:rsidRPr="00BA784D" w:rsidRDefault="0080256C" w:rsidP="0080256C">
            <w:pP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2022 (CNTAIPPDPF y CNTAIPPDPE 2023)</w:t>
            </w:r>
          </w:p>
        </w:tc>
        <w:tc>
          <w:tcPr>
            <w:tcW w:w="6506" w:type="dxa"/>
            <w:gridSpan w:val="2"/>
            <w:vAlign w:val="center"/>
          </w:tcPr>
          <w:p w14:paraId="0C4CA261" w14:textId="0D00B8EF" w:rsidR="0080256C" w:rsidRPr="00BA784D"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70-80%</w:t>
            </w:r>
          </w:p>
        </w:tc>
      </w:tr>
      <w:tr w:rsidR="0080256C" w:rsidRPr="00BA784D" w14:paraId="3B5341BA" w14:textId="77777777" w:rsidTr="00540706">
        <w:trPr>
          <w:trHeight w:val="279"/>
        </w:trPr>
        <w:tc>
          <w:tcPr>
            <w:tcW w:w="2547" w:type="dxa"/>
            <w:vAlign w:val="center"/>
          </w:tcPr>
          <w:p w14:paraId="0ABFF7DD" w14:textId="6FC3728D" w:rsidR="0080256C" w:rsidRPr="00BA784D" w:rsidRDefault="0080256C" w:rsidP="0080256C">
            <w:pP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2023 (CNTAIPPDPF y CNTAIPPDPE 2024)</w:t>
            </w:r>
          </w:p>
        </w:tc>
        <w:tc>
          <w:tcPr>
            <w:tcW w:w="6506" w:type="dxa"/>
            <w:gridSpan w:val="2"/>
            <w:vAlign w:val="center"/>
          </w:tcPr>
          <w:p w14:paraId="01948F8A" w14:textId="380E813C" w:rsidR="0080256C" w:rsidRPr="00BA784D"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81-90%</w:t>
            </w:r>
          </w:p>
        </w:tc>
      </w:tr>
      <w:tr w:rsidR="0080256C" w:rsidRPr="00BA784D" w14:paraId="79A86E57" w14:textId="77777777" w:rsidTr="00540706">
        <w:trPr>
          <w:trHeight w:val="279"/>
        </w:trPr>
        <w:tc>
          <w:tcPr>
            <w:tcW w:w="2547" w:type="dxa"/>
            <w:vAlign w:val="center"/>
          </w:tcPr>
          <w:p w14:paraId="0ECCF661" w14:textId="1F80B7EF" w:rsidR="0080256C" w:rsidRPr="00BA784D" w:rsidRDefault="0080256C" w:rsidP="0080256C">
            <w:pP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2024 (CNTAIPPDPF y CNTAIPPDPE 2025)</w:t>
            </w:r>
          </w:p>
        </w:tc>
        <w:tc>
          <w:tcPr>
            <w:tcW w:w="6506" w:type="dxa"/>
            <w:gridSpan w:val="2"/>
            <w:vAlign w:val="center"/>
          </w:tcPr>
          <w:p w14:paraId="68149BC3" w14:textId="1846E3B5" w:rsidR="0080256C" w:rsidRPr="00BA784D"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91-100%</w:t>
            </w:r>
          </w:p>
        </w:tc>
      </w:tr>
      <w:tr w:rsidR="00293925" w:rsidRPr="00BA784D" w14:paraId="3EE77857" w14:textId="77777777" w:rsidTr="00540706">
        <w:trPr>
          <w:trHeight w:val="1444"/>
        </w:trPr>
        <w:tc>
          <w:tcPr>
            <w:tcW w:w="2547" w:type="dxa"/>
            <w:vAlign w:val="center"/>
          </w:tcPr>
          <w:p w14:paraId="24DFFECC" w14:textId="51E873C1" w:rsidR="00293925" w:rsidRPr="00BA784D" w:rsidRDefault="00293925" w:rsidP="0080256C">
            <w:pP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2025 (CNTAIPPDPF y CNTAIPPDPE 2026)</w:t>
            </w:r>
          </w:p>
        </w:tc>
        <w:tc>
          <w:tcPr>
            <w:tcW w:w="6506" w:type="dxa"/>
            <w:gridSpan w:val="2"/>
            <w:vAlign w:val="center"/>
          </w:tcPr>
          <w:p w14:paraId="403EA908" w14:textId="56B74086" w:rsidR="00293925" w:rsidRPr="00BA784D" w:rsidRDefault="00C64C05"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100%</w:t>
            </w:r>
          </w:p>
        </w:tc>
      </w:tr>
      <w:tr w:rsidR="00293925" w:rsidRPr="00BA784D" w14:paraId="5B79740F" w14:textId="77777777" w:rsidTr="00540706">
        <w:trPr>
          <w:trHeight w:val="279"/>
        </w:trPr>
        <w:tc>
          <w:tcPr>
            <w:tcW w:w="2547" w:type="dxa"/>
            <w:vAlign w:val="center"/>
          </w:tcPr>
          <w:p w14:paraId="2A8E65B8" w14:textId="05FF96B6" w:rsidR="00293925" w:rsidRPr="00BA784D" w:rsidRDefault="00293925" w:rsidP="0080256C">
            <w:pPr>
              <w:spacing w:line="360" w:lineRule="auto"/>
              <w:ind w:left="57"/>
              <w:jc w:val="both"/>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Meta 2026 (CNTAIPPDPF y CNTAIPPDPE 2027)</w:t>
            </w:r>
          </w:p>
        </w:tc>
        <w:tc>
          <w:tcPr>
            <w:tcW w:w="6506" w:type="dxa"/>
            <w:gridSpan w:val="2"/>
            <w:vAlign w:val="center"/>
          </w:tcPr>
          <w:p w14:paraId="33E10B40" w14:textId="77510432" w:rsidR="00293925" w:rsidRPr="00BA784D" w:rsidRDefault="00C64C05"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100%</w:t>
            </w:r>
          </w:p>
        </w:tc>
      </w:tr>
      <w:tr w:rsidR="0080256C" w14:paraId="58ED9C19" w14:textId="77777777" w:rsidTr="00540706">
        <w:trPr>
          <w:trHeight w:val="279"/>
        </w:trPr>
        <w:tc>
          <w:tcPr>
            <w:tcW w:w="2547" w:type="dxa"/>
            <w:vAlign w:val="center"/>
          </w:tcPr>
          <w:p w14:paraId="0C1BC87C" w14:textId="323F4481" w:rsidR="0080256C" w:rsidRPr="00BA784D" w:rsidRDefault="0080256C" w:rsidP="0080256C">
            <w:pPr>
              <w:spacing w:line="360" w:lineRule="auto"/>
              <w:ind w:left="57"/>
              <w:rPr>
                <w:rFonts w:ascii="Times New Roman" w:eastAsia="Times New Roman" w:hAnsi="Times New Roman" w:cs="Times New Roman"/>
                <w:smallCaps/>
                <w:sz w:val="24"/>
                <w:szCs w:val="24"/>
              </w:rPr>
            </w:pPr>
            <w:r w:rsidRPr="00BA784D">
              <w:rPr>
                <w:rFonts w:ascii="Times New Roman" w:eastAsia="Times New Roman" w:hAnsi="Times New Roman" w:cs="Times New Roman"/>
                <w:smallCaps/>
                <w:sz w:val="24"/>
                <w:szCs w:val="24"/>
              </w:rPr>
              <w:t>comportamiento esperado</w:t>
            </w:r>
          </w:p>
        </w:tc>
        <w:tc>
          <w:tcPr>
            <w:tcW w:w="6506" w:type="dxa"/>
            <w:gridSpan w:val="2"/>
            <w:vAlign w:val="center"/>
          </w:tcPr>
          <w:p w14:paraId="20E6FFBC" w14:textId="6C9539D2" w:rsidR="0080256C" w:rsidRPr="00BA784D" w:rsidRDefault="0080256C" w:rsidP="0080256C">
            <w:pPr>
              <w:spacing w:line="360" w:lineRule="auto"/>
              <w:rPr>
                <w:rFonts w:ascii="Times New Roman" w:eastAsia="Times New Roman" w:hAnsi="Times New Roman" w:cs="Times New Roman"/>
                <w:sz w:val="24"/>
                <w:szCs w:val="24"/>
              </w:rPr>
            </w:pPr>
            <w:r w:rsidRPr="00BA784D">
              <w:rPr>
                <w:rFonts w:ascii="Times New Roman" w:eastAsia="Times New Roman" w:hAnsi="Times New Roman" w:cs="Times New Roman"/>
                <w:sz w:val="24"/>
                <w:szCs w:val="24"/>
              </w:rPr>
              <w:t>Ascendente</w:t>
            </w:r>
          </w:p>
        </w:tc>
      </w:tr>
    </w:tbl>
    <w:p w14:paraId="34B88A90" w14:textId="77777777" w:rsidR="00E35B30" w:rsidRDefault="00E35B30" w:rsidP="00540706">
      <w:pPr>
        <w:spacing w:line="360" w:lineRule="auto"/>
        <w:rPr>
          <w:rFonts w:ascii="Times New Roman" w:eastAsia="Times New Roman" w:hAnsi="Times New Roman" w:cs="Times New Roman"/>
          <w:sz w:val="24"/>
          <w:szCs w:val="24"/>
        </w:rPr>
      </w:pPr>
    </w:p>
    <w:sectPr w:rsidR="00E35B30" w:rsidSect="00540706">
      <w:headerReference w:type="even" r:id="rId47"/>
      <w:footerReference w:type="even" r:id="rId48"/>
      <w:footerReference w:type="default" r:id="rId49"/>
      <w:headerReference w:type="first" r:id="rId50"/>
      <w:footerReference w:type="first" r:id="rId51"/>
      <w:type w:val="continuous"/>
      <w:pgSz w:w="12240" w:h="15840" w:code="1"/>
      <w:pgMar w:top="1418" w:right="1701" w:bottom="1418" w:left="1701" w:header="567" w:footer="567"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CB2B3E" w16cex:dateUtc="2022-03-03T17:55:00Z"/>
  <w16cex:commentExtensible w16cex:durableId="25CB2C01" w16cex:dateUtc="2022-03-03T17:58:00Z"/>
  <w16cex:commentExtensible w16cex:durableId="25CB2C1D" w16cex:dateUtc="2022-03-03T17:59:00Z"/>
  <w16cex:commentExtensible w16cex:durableId="25CB31F6" w16cex:dateUtc="2022-03-03T18:24:00Z"/>
  <w16cex:commentExtensible w16cex:durableId="25CB3AE3" w16cex:dateUtc="2022-03-03T19:02:00Z"/>
  <w16cex:commentExtensible w16cex:durableId="25CB3B34" w16cex:dateUtc="2022-03-03T19:03:00Z"/>
  <w16cex:commentExtensible w16cex:durableId="25CB341C" w16cex:dateUtc="2022-03-03T18:33:00Z"/>
  <w16cex:commentExtensible w16cex:durableId="25CB2C74" w16cex:dateUtc="2022-03-03T18:00:00Z"/>
  <w16cex:commentExtensible w16cex:durableId="25CB3E83" w16cex:dateUtc="2022-03-03T19:17:00Z"/>
  <w16cex:commentExtensible w16cex:durableId="25CB41EB" w16cex:dateUtc="2022-03-03T19:32:00Z"/>
  <w16cex:commentExtensible w16cex:durableId="25CB41FB" w16cex:dateUtc="2022-03-03T19:32:00Z"/>
  <w16cex:commentExtensible w16cex:durableId="25CB3FA1" w16cex:dateUtc="2022-03-03T19:22:00Z"/>
  <w16cex:commentExtensible w16cex:durableId="25CB4593" w16cex:dateUtc="2022-03-03T19:32:00Z"/>
  <w16cex:commentExtensible w16cex:durableId="25CB459B" w16cex:dateUtc="2022-03-03T19: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744F40" w14:textId="77777777" w:rsidR="0027114E" w:rsidRDefault="0027114E">
      <w:r>
        <w:separator/>
      </w:r>
    </w:p>
  </w:endnote>
  <w:endnote w:type="continuationSeparator" w:id="0">
    <w:p w14:paraId="7AFDFCDE" w14:textId="77777777" w:rsidR="0027114E" w:rsidRDefault="00271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IDFont+F1">
    <w:panose1 w:val="00000000000000000000"/>
    <w:charset w:val="00"/>
    <w:family w:val="roman"/>
    <w:notTrueType/>
    <w:pitch w:val="default"/>
  </w:font>
  <w:font w:name="CIDFont+F3">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47B23" w14:textId="77777777" w:rsidR="001F0B45" w:rsidRDefault="001F0B45">
    <w:pPr>
      <w:pBdr>
        <w:top w:val="nil"/>
        <w:left w:val="nil"/>
        <w:bottom w:val="nil"/>
        <w:right w:val="nil"/>
        <w:between w:val="nil"/>
      </w:pBdr>
      <w:tabs>
        <w:tab w:val="center" w:pos="4419"/>
        <w:tab w:val="right" w:pos="8838"/>
      </w:tabs>
      <w:jc w:val="right"/>
      <w:rPr>
        <w:color w:val="000000"/>
      </w:rPr>
    </w:pPr>
  </w:p>
  <w:p w14:paraId="1864BF64" w14:textId="77777777" w:rsidR="001F0B45" w:rsidRDefault="001F0B45">
    <w:pPr>
      <w:pBdr>
        <w:top w:val="nil"/>
        <w:left w:val="nil"/>
        <w:bottom w:val="nil"/>
        <w:right w:val="nil"/>
        <w:between w:val="nil"/>
      </w:pBdr>
      <w:tabs>
        <w:tab w:val="center" w:pos="4419"/>
        <w:tab w:val="right" w:pos="8838"/>
      </w:tabs>
      <w:ind w:right="360"/>
      <w:rPr>
        <w:color w:val="000000"/>
      </w:rPr>
    </w:pPr>
  </w:p>
  <w:p w14:paraId="6C0F125A" w14:textId="77777777" w:rsidR="001F0B45" w:rsidRDefault="001F0B45">
    <w:pPr>
      <w:pBdr>
        <w:top w:val="nil"/>
        <w:left w:val="nil"/>
        <w:bottom w:val="nil"/>
        <w:right w:val="nil"/>
        <w:between w:val="nil"/>
      </w:pBdr>
      <w:spacing w:line="276" w:lineRule="auto"/>
      <w:rPr>
        <w:color w:val="000000"/>
      </w:rPr>
    </w:pPr>
  </w:p>
  <w:p w14:paraId="193FFB49" w14:textId="77777777" w:rsidR="001F0B45" w:rsidRDefault="001F0B45">
    <w:pPr>
      <w:pBdr>
        <w:top w:val="nil"/>
        <w:left w:val="nil"/>
        <w:bottom w:val="nil"/>
        <w:right w:val="nil"/>
        <w:between w:val="nil"/>
      </w:pBdr>
      <w:spacing w:line="276" w:lineRule="auto"/>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5104562"/>
      <w:docPartObj>
        <w:docPartGallery w:val="Page Numbers (Bottom of Page)"/>
        <w:docPartUnique/>
      </w:docPartObj>
    </w:sdtPr>
    <w:sdtEndPr/>
    <w:sdtContent>
      <w:p w14:paraId="4D29A868" w14:textId="77777777" w:rsidR="001F0B45" w:rsidRDefault="001F0B45">
        <w:pPr>
          <w:pStyle w:val="Piedepgina"/>
          <w:jc w:val="right"/>
        </w:pPr>
        <w:r>
          <w:fldChar w:fldCharType="begin"/>
        </w:r>
        <w:r>
          <w:instrText>PAGE   \* MERGEFORMAT</w:instrText>
        </w:r>
        <w:r>
          <w:fldChar w:fldCharType="separate"/>
        </w:r>
        <w:r>
          <w:rPr>
            <w:lang w:val="es-ES"/>
          </w:rPr>
          <w:t>2</w:t>
        </w:r>
        <w:r>
          <w:fldChar w:fldCharType="end"/>
        </w:r>
      </w:p>
    </w:sdtContent>
  </w:sdt>
  <w:p w14:paraId="522E7EAA" w14:textId="77777777" w:rsidR="001F0B45" w:rsidRDefault="001F0B45">
    <w:pPr>
      <w:pBdr>
        <w:top w:val="nil"/>
        <w:left w:val="nil"/>
        <w:bottom w:val="nil"/>
        <w:right w:val="nil"/>
        <w:between w:val="nil"/>
      </w:pBdr>
      <w:spacing w:line="14" w:lineRule="auto"/>
      <w:ind w:right="360"/>
      <w:jc w:val="right"/>
      <w:rPr>
        <w:rFonts w:ascii="Times New Roman" w:eastAsia="Times New Roman" w:hAnsi="Times New Roman" w:cs="Times New Roman"/>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40533" w14:textId="77777777" w:rsidR="001F0B45" w:rsidRDefault="001F0B45">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BC721" w14:textId="77777777" w:rsidR="0027114E" w:rsidRDefault="0027114E">
      <w:r>
        <w:separator/>
      </w:r>
    </w:p>
  </w:footnote>
  <w:footnote w:type="continuationSeparator" w:id="0">
    <w:p w14:paraId="676410F4" w14:textId="77777777" w:rsidR="0027114E" w:rsidRDefault="0027114E">
      <w:r>
        <w:continuationSeparator/>
      </w:r>
    </w:p>
  </w:footnote>
  <w:footnote w:id="1">
    <w:p w14:paraId="7ABF14E5" w14:textId="77777777" w:rsidR="001F0B45" w:rsidRDefault="001F0B45">
      <w:pPr>
        <w:pBdr>
          <w:top w:val="nil"/>
          <w:left w:val="nil"/>
          <w:bottom w:val="nil"/>
          <w:right w:val="nil"/>
          <w:between w:val="nil"/>
        </w:pBdr>
        <w:jc w:val="both"/>
        <w:rPr>
          <w:rFonts w:ascii="Times New Roman" w:eastAsia="Times New Roman" w:hAnsi="Times New Roman" w:cs="Times New Roman"/>
          <w:color w:val="000000"/>
          <w:sz w:val="20"/>
          <w:szCs w:val="20"/>
        </w:rPr>
      </w:pPr>
      <w:r w:rsidRPr="00BA784D">
        <w:rPr>
          <w:vertAlign w:val="superscript"/>
        </w:rPr>
        <w:footnoteRef/>
      </w:r>
      <w:r w:rsidRPr="00BA784D">
        <w:rPr>
          <w:rFonts w:ascii="Times New Roman" w:eastAsia="Times New Roman" w:hAnsi="Times New Roman" w:cs="Times New Roman"/>
          <w:color w:val="000000"/>
          <w:sz w:val="20"/>
          <w:szCs w:val="20"/>
        </w:rPr>
        <w:t xml:space="preserve"> </w:t>
      </w:r>
      <w:r w:rsidRPr="00BA784D">
        <w:rPr>
          <w:rFonts w:ascii="Times New Roman" w:eastAsia="Times New Roman" w:hAnsi="Times New Roman" w:cs="Times New Roman"/>
          <w:sz w:val="20"/>
          <w:szCs w:val="20"/>
        </w:rPr>
        <w:t>Lo anterior se afirma,</w:t>
      </w:r>
      <w:r w:rsidRPr="00BA784D">
        <w:rPr>
          <w:rFonts w:ascii="Times New Roman" w:eastAsia="Times New Roman" w:hAnsi="Times New Roman" w:cs="Times New Roman"/>
          <w:color w:val="000000"/>
          <w:sz w:val="20"/>
          <w:szCs w:val="20"/>
        </w:rPr>
        <w:t xml:space="preserve"> conforme al informe que rinde el Secretario Ejecutivo del SNT sobre Avances y acciones realizadas para la implementación de los</w:t>
      </w:r>
      <w:r w:rsidRPr="00BA784D">
        <w:rPr>
          <w:rFonts w:ascii="Times New Roman" w:eastAsia="Times New Roman" w:hAnsi="Times New Roman" w:cs="Times New Roman"/>
          <w:sz w:val="20"/>
          <w:szCs w:val="20"/>
        </w:rPr>
        <w:t xml:space="preserve"> </w:t>
      </w:r>
      <w:r w:rsidRPr="00BA784D">
        <w:rPr>
          <w:rFonts w:ascii="Times New Roman" w:eastAsia="Times New Roman" w:hAnsi="Times New Roman" w:cs="Times New Roman"/>
          <w:color w:val="000000"/>
          <w:sz w:val="20"/>
          <w:szCs w:val="20"/>
        </w:rPr>
        <w:t>Lineamientos para la Elaboración, Ejecución y Evaluación del</w:t>
      </w:r>
      <w:r w:rsidRPr="00BA784D">
        <w:rPr>
          <w:rFonts w:ascii="Times New Roman" w:eastAsia="Times New Roman" w:hAnsi="Times New Roman" w:cs="Times New Roman"/>
          <w:sz w:val="20"/>
          <w:szCs w:val="20"/>
        </w:rPr>
        <w:t xml:space="preserve"> </w:t>
      </w:r>
      <w:r w:rsidRPr="00BA784D">
        <w:rPr>
          <w:rFonts w:ascii="Times New Roman" w:eastAsia="Times New Roman" w:hAnsi="Times New Roman" w:cs="Times New Roman"/>
          <w:color w:val="000000"/>
          <w:sz w:val="20"/>
          <w:szCs w:val="20"/>
        </w:rPr>
        <w:t>Programa Nacional de Transparencia y Acceso a la Información</w:t>
      </w:r>
      <w:r w:rsidRPr="00BA784D">
        <w:rPr>
          <w:rFonts w:ascii="Times New Roman" w:eastAsia="Times New Roman" w:hAnsi="Times New Roman" w:cs="Times New Roman"/>
          <w:sz w:val="20"/>
          <w:szCs w:val="20"/>
        </w:rPr>
        <w:t xml:space="preserve"> </w:t>
      </w:r>
      <w:r w:rsidRPr="00BA784D">
        <w:rPr>
          <w:rFonts w:ascii="Times New Roman" w:eastAsia="Times New Roman" w:hAnsi="Times New Roman" w:cs="Times New Roman"/>
          <w:color w:val="000000"/>
          <w:sz w:val="20"/>
          <w:szCs w:val="20"/>
        </w:rPr>
        <w:t>(PROTAI) así como, para la implementación de los Lineamientos para</w:t>
      </w:r>
      <w:r w:rsidRPr="00BA784D">
        <w:rPr>
          <w:rFonts w:ascii="Times New Roman" w:eastAsia="Times New Roman" w:hAnsi="Times New Roman" w:cs="Times New Roman"/>
          <w:sz w:val="20"/>
          <w:szCs w:val="20"/>
        </w:rPr>
        <w:t xml:space="preserve"> </w:t>
      </w:r>
      <w:r w:rsidRPr="00BA784D">
        <w:rPr>
          <w:rFonts w:ascii="Times New Roman" w:eastAsia="Times New Roman" w:hAnsi="Times New Roman" w:cs="Times New Roman"/>
          <w:color w:val="000000"/>
          <w:sz w:val="20"/>
          <w:szCs w:val="20"/>
        </w:rPr>
        <w:t>la Elaboración, Ejecución y Evaluación del Programa Nacional de</w:t>
      </w:r>
      <w:r w:rsidRPr="00BA784D">
        <w:rPr>
          <w:rFonts w:ascii="Times New Roman" w:eastAsia="Times New Roman" w:hAnsi="Times New Roman" w:cs="Times New Roman"/>
          <w:sz w:val="20"/>
          <w:szCs w:val="20"/>
        </w:rPr>
        <w:t xml:space="preserve"> </w:t>
      </w:r>
      <w:r w:rsidRPr="00BA784D">
        <w:rPr>
          <w:rFonts w:ascii="Times New Roman" w:eastAsia="Times New Roman" w:hAnsi="Times New Roman" w:cs="Times New Roman"/>
          <w:color w:val="000000"/>
          <w:sz w:val="20"/>
          <w:szCs w:val="20"/>
        </w:rPr>
        <w:t>Protección de Datos Personales (PRONADATOS) con fecha Abril de 2021.</w:t>
      </w:r>
    </w:p>
  </w:footnote>
  <w:footnote w:id="2">
    <w:p w14:paraId="0F919207" w14:textId="77777777" w:rsidR="001F0B45" w:rsidRDefault="001F0B45">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1">
        <w:r>
          <w:rPr>
            <w:rFonts w:ascii="Times New Roman" w:eastAsia="Times New Roman" w:hAnsi="Times New Roman" w:cs="Times New Roman"/>
            <w:sz w:val="20"/>
            <w:szCs w:val="20"/>
            <w:u w:val="single"/>
          </w:rPr>
          <w:t>https://www.un.org/sustainabledevelopment/es/peace-justice/</w:t>
        </w:r>
      </w:hyperlink>
      <w:r>
        <w:rPr>
          <w:rFonts w:ascii="Times New Roman" w:eastAsia="Times New Roman" w:hAnsi="Times New Roman" w:cs="Times New Roman"/>
          <w:sz w:val="20"/>
          <w:szCs w:val="20"/>
        </w:rPr>
        <w:t xml:space="preserve"> </w:t>
      </w:r>
    </w:p>
  </w:footnote>
  <w:footnote w:id="3">
    <w:p w14:paraId="5E9BD242" w14:textId="77777777" w:rsidR="001F0B45" w:rsidRDefault="001F0B45">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2">
        <w:r>
          <w:rPr>
            <w:rFonts w:ascii="Times New Roman" w:eastAsia="Times New Roman" w:hAnsi="Times New Roman" w:cs="Times New Roman"/>
            <w:sz w:val="20"/>
            <w:szCs w:val="20"/>
            <w:u w:val="single"/>
          </w:rPr>
          <w:t>http://www.dof.gob.mx/nota_detalle.php?codigo=5565599&amp;fecha=12/07/2019</w:t>
        </w:r>
      </w:hyperlink>
      <w:r>
        <w:rPr>
          <w:rFonts w:ascii="Times New Roman" w:eastAsia="Times New Roman" w:hAnsi="Times New Roman" w:cs="Times New Roman"/>
          <w:sz w:val="20"/>
          <w:szCs w:val="20"/>
        </w:rPr>
        <w:t xml:space="preserve"> </w:t>
      </w:r>
    </w:p>
  </w:footnote>
  <w:footnote w:id="4">
    <w:p w14:paraId="1ADE2544" w14:textId="77777777" w:rsidR="001F0B45" w:rsidRDefault="001F0B45">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3">
        <w:r>
          <w:rPr>
            <w:rFonts w:ascii="Times New Roman" w:eastAsia="Times New Roman" w:hAnsi="Times New Roman" w:cs="Times New Roman"/>
            <w:sz w:val="20"/>
            <w:szCs w:val="20"/>
            <w:u w:val="single"/>
          </w:rPr>
          <w:t>https://www.sesna.gob.mx/politica-nacional-anticorrupcion/</w:t>
        </w:r>
      </w:hyperlink>
      <w:r>
        <w:rPr>
          <w:rFonts w:ascii="Times New Roman" w:eastAsia="Times New Roman" w:hAnsi="Times New Roman" w:cs="Times New Roman"/>
          <w:sz w:val="20"/>
          <w:szCs w:val="20"/>
        </w:rPr>
        <w:t xml:space="preserve"> </w:t>
      </w:r>
    </w:p>
  </w:footnote>
  <w:footnote w:id="5">
    <w:p w14:paraId="57485BC5" w14:textId="77777777" w:rsidR="001F0B45" w:rsidRDefault="001F0B45">
      <w:pPr>
        <w:pBdr>
          <w:top w:val="nil"/>
          <w:left w:val="nil"/>
          <w:bottom w:val="nil"/>
          <w:right w:val="nil"/>
          <w:between w:val="nil"/>
        </w:pBdr>
        <w:rPr>
          <w:color w:val="000000"/>
          <w:sz w:val="20"/>
          <w:szCs w:val="20"/>
        </w:rPr>
      </w:pPr>
      <w:r w:rsidRPr="00FD4F8F">
        <w:rPr>
          <w:vertAlign w:val="superscript"/>
        </w:rPr>
        <w:footnoteRef/>
      </w:r>
      <w:r w:rsidRPr="00FD4F8F">
        <w:rPr>
          <w:color w:val="000000"/>
          <w:sz w:val="20"/>
          <w:szCs w:val="20"/>
        </w:rPr>
        <w:t xml:space="preserve"> Con la posible invitación a colaborar a la Comisión Nacional de Derechos Humanos</w:t>
      </w:r>
    </w:p>
  </w:footnote>
  <w:footnote w:id="6">
    <w:p w14:paraId="0DF58C01" w14:textId="77777777" w:rsidR="001F0B45" w:rsidRPr="00A75300" w:rsidRDefault="001F0B45">
      <w:pPr>
        <w:jc w:val="both"/>
        <w:rPr>
          <w:rFonts w:ascii="Times New Roman" w:eastAsia="Times New Roman" w:hAnsi="Times New Roman" w:cs="Times New Roman"/>
          <w:sz w:val="20"/>
          <w:szCs w:val="20"/>
        </w:rPr>
      </w:pPr>
      <w:r w:rsidRPr="00A75300">
        <w:rPr>
          <w:vertAlign w:val="superscript"/>
        </w:rPr>
        <w:footnoteRef/>
      </w:r>
      <w:r w:rsidRPr="00A75300">
        <w:rPr>
          <w:sz w:val="20"/>
          <w:szCs w:val="20"/>
        </w:rPr>
        <w:t xml:space="preserve"> </w:t>
      </w:r>
      <w:r w:rsidRPr="00A75300">
        <w:rPr>
          <w:rFonts w:ascii="Times New Roman" w:eastAsia="Times New Roman" w:hAnsi="Times New Roman" w:cs="Times New Roman"/>
          <w:sz w:val="20"/>
          <w:szCs w:val="20"/>
        </w:rPr>
        <w:t>Acuerdo Mediante el cual se aprueban el Catálogo de Sujetos Obligados y el Catálogo de Clasificación Temática de Solicitudes de Información CONAIP/SNT/ACUERDO/EXT02-14/07/2021-02.</w:t>
      </w:r>
    </w:p>
  </w:footnote>
  <w:footnote w:id="7">
    <w:p w14:paraId="2008CA5F" w14:textId="77777777" w:rsidR="001F0B45" w:rsidRDefault="001F0B45">
      <w:pPr>
        <w:jc w:val="both"/>
        <w:rPr>
          <w:rFonts w:ascii="Times New Roman" w:eastAsia="Times New Roman" w:hAnsi="Times New Roman" w:cs="Times New Roman"/>
          <w:sz w:val="20"/>
          <w:szCs w:val="20"/>
        </w:rPr>
      </w:pPr>
      <w:r w:rsidRPr="00A75300">
        <w:rPr>
          <w:vertAlign w:val="superscript"/>
        </w:rPr>
        <w:footnoteRef/>
      </w:r>
      <w:r w:rsidRPr="00A75300">
        <w:rPr>
          <w:rFonts w:ascii="Times New Roman" w:eastAsia="Times New Roman" w:hAnsi="Times New Roman" w:cs="Times New Roman"/>
          <w:sz w:val="20"/>
          <w:szCs w:val="20"/>
        </w:rPr>
        <w:t xml:space="preserve">  La creación de alianzas y ampliación de redes de conocimiento se desarrollarán a fin de que se expanda -por ejemplo- a sujetos obligados, centros educativos u organizaciones de la sociedad civil diversas a las que se han colaborado en años anteriores; esto con el propósito de que el público objetivo de los mismos no sea el nicho consolidado al interior o al exterior del SNT.</w:t>
      </w:r>
    </w:p>
  </w:footnote>
  <w:footnote w:id="8">
    <w:p w14:paraId="0C486758" w14:textId="77777777" w:rsidR="001F0B45" w:rsidRDefault="001F0B45">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CIDE-INAI, Métrica de Gobierno Abierto 2017 y 2019. </w:t>
      </w:r>
    </w:p>
    <w:p w14:paraId="50B163B9" w14:textId="77777777" w:rsidR="001F0B45" w:rsidRDefault="0027114E">
      <w:pPr>
        <w:jc w:val="both"/>
        <w:rPr>
          <w:rFonts w:ascii="Times New Roman" w:eastAsia="Times New Roman" w:hAnsi="Times New Roman" w:cs="Times New Roman"/>
          <w:sz w:val="20"/>
          <w:szCs w:val="20"/>
        </w:rPr>
      </w:pPr>
      <w:hyperlink r:id="rId4">
        <w:r w:rsidR="001F0B45">
          <w:rPr>
            <w:rFonts w:ascii="Times New Roman" w:eastAsia="Times New Roman" w:hAnsi="Times New Roman" w:cs="Times New Roman"/>
            <w:sz w:val="20"/>
            <w:szCs w:val="20"/>
            <w:u w:val="single"/>
          </w:rPr>
          <w:t>https://micrositios.inai.org.mx/gobiernoabierto/?page_id=5765</w:t>
        </w:r>
      </w:hyperlink>
      <w:r w:rsidR="001F0B45">
        <w:rPr>
          <w:rFonts w:ascii="Times New Roman" w:eastAsia="Times New Roman" w:hAnsi="Times New Roman" w:cs="Times New Roman"/>
          <w:sz w:val="20"/>
          <w:szCs w:val="20"/>
        </w:rPr>
        <w:t xml:space="preserve"> </w:t>
      </w:r>
    </w:p>
  </w:footnote>
  <w:footnote w:id="9">
    <w:p w14:paraId="404B985C" w14:textId="77777777" w:rsidR="001F0B45" w:rsidRPr="00A75300" w:rsidRDefault="001F0B45">
      <w:pPr>
        <w:jc w:val="both"/>
        <w:rPr>
          <w:rFonts w:ascii="Times New Roman" w:eastAsia="Times New Roman" w:hAnsi="Times New Roman" w:cs="Times New Roman"/>
          <w:sz w:val="20"/>
          <w:szCs w:val="20"/>
        </w:rPr>
      </w:pPr>
      <w:r w:rsidRPr="00A75300">
        <w:rPr>
          <w:vertAlign w:val="superscript"/>
        </w:rPr>
        <w:footnoteRef/>
      </w:r>
      <w:r w:rsidRPr="00A75300">
        <w:rPr>
          <w:rFonts w:ascii="Times New Roman" w:eastAsia="Times New Roman" w:hAnsi="Times New Roman" w:cs="Times New Roman"/>
          <w:sz w:val="20"/>
          <w:szCs w:val="20"/>
        </w:rPr>
        <w:t xml:space="preserve"> La creación de alianzas y ampliación de redes de conocimiento se desarrollarán a fin de que se expanda -por ejemplo- a sujetos obligados, centros educativos u organizaciones de la sociedad civil diversas a las que se han colaborado en años anteriores; esto con el propósito de que el público objetivo de los mismos no sea el nicho consolidado al interior o al exterior del SNT.</w:t>
      </w:r>
    </w:p>
  </w:footnote>
  <w:footnote w:id="10">
    <w:p w14:paraId="2F20C755" w14:textId="77777777" w:rsidR="001F0B45" w:rsidRDefault="001F0B45">
      <w:pPr>
        <w:jc w:val="both"/>
        <w:rPr>
          <w:rFonts w:ascii="Times New Roman" w:eastAsia="Times New Roman" w:hAnsi="Times New Roman" w:cs="Times New Roman"/>
          <w:sz w:val="20"/>
          <w:szCs w:val="20"/>
        </w:rPr>
      </w:pPr>
      <w:r w:rsidRPr="00A75300">
        <w:rPr>
          <w:vertAlign w:val="superscript"/>
        </w:rPr>
        <w:footnoteRef/>
      </w:r>
      <w:r w:rsidRPr="00A75300">
        <w:rPr>
          <w:rFonts w:ascii="Times New Roman" w:eastAsia="Times New Roman" w:hAnsi="Times New Roman" w:cs="Times New Roman"/>
          <w:sz w:val="20"/>
          <w:szCs w:val="20"/>
        </w:rPr>
        <w:t xml:space="preserve">  La creación de alianzas y ampliación de redes de conocimiento se desarrollarán a fin de que se expanda -por ejemplo- a sujetos obligados, centros educativos u organizaciones de la sociedad civil diversas a las que se han colaborado en años anteriores; esto con el propósito de que el público objetivo de los mismos no sea el nicho consolidado al interior o al exterior del SNT.</w:t>
      </w:r>
    </w:p>
  </w:footnote>
  <w:footnote w:id="11">
    <w:p w14:paraId="178BCD6A" w14:textId="33D815AA" w:rsidR="001F0B45" w:rsidRDefault="001F0B45">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INEGI, Censo Nacional de Transparencia, Acceso a la Información Pública y Protección de Datos Personales (CNTAIPPDPF). </w:t>
      </w:r>
      <w:hyperlink r:id="rId5">
        <w:r>
          <w:rPr>
            <w:rFonts w:ascii="Times New Roman" w:eastAsia="Times New Roman" w:hAnsi="Times New Roman" w:cs="Times New Roman"/>
            <w:color w:val="1155CC"/>
            <w:sz w:val="20"/>
            <w:szCs w:val="20"/>
            <w:u w:val="single"/>
          </w:rPr>
          <w:t>https://www.inegi.org.mx/programas/cntaippdpf/</w:t>
        </w:r>
      </w:hyperlink>
    </w:p>
  </w:footnote>
  <w:footnote w:id="12">
    <w:p w14:paraId="69542490" w14:textId="77777777" w:rsidR="001F0B45" w:rsidRDefault="001F0B45">
      <w:pPr>
        <w:jc w:val="both"/>
        <w:rPr>
          <w:rFonts w:ascii="Times New Roman" w:eastAsia="Times New Roman" w:hAnsi="Times New Roman" w:cs="Times New Roman"/>
          <w:sz w:val="20"/>
          <w:szCs w:val="20"/>
        </w:rPr>
      </w:pPr>
      <w:r w:rsidRPr="00A75300">
        <w:rPr>
          <w:vertAlign w:val="superscript"/>
        </w:rPr>
        <w:footnoteRef/>
      </w:r>
      <w:r w:rsidRPr="00A75300">
        <w:rPr>
          <w:rFonts w:ascii="Times New Roman" w:eastAsia="Times New Roman" w:hAnsi="Times New Roman" w:cs="Times New Roman"/>
          <w:sz w:val="20"/>
          <w:szCs w:val="20"/>
        </w:rPr>
        <w:t xml:space="preserve">  La creación de alianzas y ampliación de redes de conocimiento se desarrollarán a fin de que se expanda -por ejemplo- a sujetos obligados, centros educativos u organizaciones de la sociedad civil diversas a las que se han colaborado en años anteriores; esto con el propósito de que el público objetivo de los mismos no sea el nicho consolidado al interior o al exterior del SNT.</w:t>
      </w:r>
    </w:p>
  </w:footnote>
  <w:footnote w:id="13">
    <w:p w14:paraId="5C0B85F9" w14:textId="77777777" w:rsidR="001F0B45" w:rsidRDefault="001F0B45">
      <w:pPr>
        <w:jc w:val="both"/>
        <w:rPr>
          <w:rFonts w:ascii="Times New Roman" w:eastAsia="Times New Roman" w:hAnsi="Times New Roman" w:cs="Times New Roman"/>
          <w:sz w:val="20"/>
          <w:szCs w:val="20"/>
          <w:highlight w:val="yellow"/>
        </w:rPr>
      </w:pPr>
      <w:r w:rsidRPr="00BA784D">
        <w:rPr>
          <w:vertAlign w:val="superscript"/>
        </w:rPr>
        <w:footnoteRef/>
      </w:r>
      <w:r w:rsidRPr="00BA784D">
        <w:rPr>
          <w:rFonts w:ascii="Times New Roman" w:eastAsia="Times New Roman" w:hAnsi="Times New Roman" w:cs="Times New Roman"/>
          <w:sz w:val="20"/>
          <w:szCs w:val="20"/>
        </w:rPr>
        <w:t xml:space="preserve"> De Gobierno Abierto a Estado Abierto, Biblioteca de la CEPAL, información en línea, disponible en: </w:t>
      </w:r>
      <w:hyperlink r:id="rId6">
        <w:r w:rsidRPr="00BA784D">
          <w:rPr>
            <w:rFonts w:ascii="Times New Roman" w:eastAsia="Times New Roman" w:hAnsi="Times New Roman" w:cs="Times New Roman"/>
            <w:color w:val="1155CC"/>
            <w:sz w:val="20"/>
            <w:szCs w:val="20"/>
            <w:u w:val="single"/>
          </w:rPr>
          <w:t>https://biblioguias.cepal.org/EstadoAbierto/ConceptoEstadoAbierto</w:t>
        </w:r>
      </w:hyperlink>
      <w:r w:rsidRPr="00BA784D">
        <w:rPr>
          <w:rFonts w:ascii="Times New Roman" w:eastAsia="Times New Roman" w:hAnsi="Times New Roman" w:cs="Times New Roman"/>
          <w:sz w:val="20"/>
          <w:szCs w:val="20"/>
        </w:rPr>
        <w:t xml:space="preserve"> </w:t>
      </w:r>
    </w:p>
  </w:footnote>
  <w:footnote w:id="14">
    <w:p w14:paraId="411F7D3F" w14:textId="77777777" w:rsidR="001F0B45" w:rsidRPr="00A75300" w:rsidRDefault="001F0B45">
      <w:pPr>
        <w:rPr>
          <w:rFonts w:ascii="Times New Roman" w:eastAsia="Times New Roman" w:hAnsi="Times New Roman" w:cs="Times New Roman"/>
          <w:sz w:val="20"/>
          <w:szCs w:val="20"/>
        </w:rPr>
      </w:pPr>
      <w:r w:rsidRPr="00A75300">
        <w:rPr>
          <w:vertAlign w:val="superscript"/>
        </w:rPr>
        <w:footnoteRef/>
      </w:r>
      <w:r w:rsidRPr="00A75300">
        <w:rPr>
          <w:rFonts w:ascii="Times New Roman" w:eastAsia="Times New Roman" w:hAnsi="Times New Roman" w:cs="Times New Roman"/>
          <w:sz w:val="20"/>
          <w:szCs w:val="20"/>
        </w:rPr>
        <w:t xml:space="preserve"> De acuerdo con Juan Manuel Casanueva, experto de Social TIC. Ver:  </w:t>
      </w:r>
      <w:hyperlink r:id="rId7" w:anchor="policy-recommendations">
        <w:r w:rsidRPr="00A75300">
          <w:rPr>
            <w:rFonts w:ascii="Times New Roman" w:eastAsia="Times New Roman" w:hAnsi="Times New Roman" w:cs="Times New Roman"/>
            <w:color w:val="1155CC"/>
            <w:sz w:val="20"/>
            <w:szCs w:val="20"/>
            <w:u w:val="single"/>
          </w:rPr>
          <w:t>https://barometrolac.org/ilda-edicion/informe/#policy-recommendations</w:t>
        </w:r>
      </w:hyperlink>
      <w:r w:rsidRPr="00A75300">
        <w:rPr>
          <w:rFonts w:ascii="Times New Roman" w:eastAsia="Times New Roman" w:hAnsi="Times New Roman" w:cs="Times New Roman"/>
          <w:sz w:val="20"/>
          <w:szCs w:val="20"/>
        </w:rPr>
        <w:t xml:space="preserve"> </w:t>
      </w:r>
    </w:p>
  </w:footnote>
  <w:footnote w:id="15">
    <w:p w14:paraId="7014A0EB" w14:textId="77777777" w:rsidR="001F0B45" w:rsidRDefault="001F0B45">
      <w:pPr>
        <w:jc w:val="both"/>
        <w:rPr>
          <w:rFonts w:ascii="Times New Roman" w:eastAsia="Times New Roman" w:hAnsi="Times New Roman" w:cs="Times New Roman"/>
          <w:sz w:val="20"/>
          <w:szCs w:val="20"/>
        </w:rPr>
      </w:pPr>
      <w:r w:rsidRPr="00A75300">
        <w:rPr>
          <w:vertAlign w:val="superscript"/>
        </w:rPr>
        <w:footnoteRef/>
      </w:r>
      <w:r w:rsidRPr="00A75300">
        <w:rPr>
          <w:rFonts w:ascii="Times New Roman" w:eastAsia="Times New Roman" w:hAnsi="Times New Roman" w:cs="Times New Roman"/>
          <w:sz w:val="20"/>
          <w:szCs w:val="20"/>
        </w:rPr>
        <w:t xml:space="preserve"> Ver: https://barometrolac.org/ilda-edicion/informe/</w:t>
      </w:r>
    </w:p>
  </w:footnote>
  <w:footnote w:id="16">
    <w:p w14:paraId="626E38B4" w14:textId="77777777" w:rsidR="001F0B45" w:rsidRPr="00FD4F8F" w:rsidRDefault="001F0B45">
      <w:pPr>
        <w:jc w:val="both"/>
        <w:rPr>
          <w:rFonts w:ascii="Times New Roman" w:eastAsia="Times New Roman" w:hAnsi="Times New Roman" w:cs="Times New Roman"/>
          <w:sz w:val="20"/>
          <w:szCs w:val="20"/>
        </w:rPr>
      </w:pPr>
      <w:r w:rsidRPr="00FD4F8F">
        <w:rPr>
          <w:vertAlign w:val="superscript"/>
        </w:rPr>
        <w:footnoteRef/>
      </w:r>
      <w:r w:rsidRPr="00FD4F8F">
        <w:rPr>
          <w:rFonts w:ascii="Times New Roman" w:eastAsia="Times New Roman" w:hAnsi="Times New Roman" w:cs="Times New Roman"/>
          <w:sz w:val="20"/>
          <w:szCs w:val="20"/>
        </w:rPr>
        <w:t xml:space="preserve">  La creación de alianzas y ampliación de redes de conocimiento se desarrollarán a fin de que se expanda -por ejemplo- a sujetos obligados, centros educativos u organizaciones de la sociedad civil diversas a las que se han colaborado en años anteriores; esto con el propósito de que el público objetivo de los mismos no sea el nicho consolidado al interior o al exterior del SNT.</w:t>
      </w:r>
    </w:p>
  </w:footnote>
  <w:footnote w:id="17">
    <w:p w14:paraId="3982296F" w14:textId="77777777" w:rsidR="001F0B45" w:rsidRDefault="001F0B45">
      <w:pPr>
        <w:jc w:val="both"/>
        <w:rPr>
          <w:rFonts w:ascii="Times New Roman" w:eastAsia="Times New Roman" w:hAnsi="Times New Roman" w:cs="Times New Roman"/>
          <w:sz w:val="20"/>
          <w:szCs w:val="20"/>
        </w:rPr>
      </w:pPr>
      <w:r w:rsidRPr="00FD4F8F">
        <w:rPr>
          <w:vertAlign w:val="superscript"/>
        </w:rPr>
        <w:footnoteRef/>
      </w:r>
      <w:r w:rsidRPr="00FD4F8F">
        <w:rPr>
          <w:rFonts w:ascii="Times New Roman" w:eastAsia="Times New Roman" w:hAnsi="Times New Roman" w:cs="Times New Roman"/>
          <w:sz w:val="20"/>
          <w:szCs w:val="20"/>
        </w:rPr>
        <w:t xml:space="preserve">  La creación de alianzas y ampliación de redes de conocimiento se desarrollarán a fin de que se expanda -por ejemplo- a sujetos obligados, centros educativos u organizaciones de la sociedad civil diversas a las que se han colaborado en años anteriores; esto con el propósito de que el público objetivo de los mismos no sea el nicho consolidado al interior o al exterior del SNT.</w:t>
      </w:r>
    </w:p>
  </w:footnote>
  <w:footnote w:id="18">
    <w:p w14:paraId="517C4B35" w14:textId="77777777" w:rsidR="001F0B45" w:rsidRDefault="001F0B45">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Ver:</w:t>
      </w:r>
      <w:r>
        <w:rPr>
          <w:rFonts w:ascii="Times New Roman" w:eastAsia="Times New Roman" w:hAnsi="Times New Roman" w:cs="Times New Roman"/>
          <w:color w:val="000000"/>
          <w:sz w:val="20"/>
          <w:szCs w:val="20"/>
        </w:rPr>
        <w:t xml:space="preserve"> </w:t>
      </w:r>
      <w:hyperlink r:id="rId8">
        <w:r>
          <w:rPr>
            <w:rFonts w:ascii="Times New Roman" w:eastAsia="Times New Roman" w:hAnsi="Times New Roman" w:cs="Times New Roman"/>
            <w:color w:val="0000FF"/>
            <w:sz w:val="20"/>
            <w:szCs w:val="20"/>
            <w:u w:val="single"/>
          </w:rPr>
          <w:t>https://www.snf.org.mx/intosaint.aspx</w:t>
        </w:r>
      </w:hyperlink>
      <w:r>
        <w:rPr>
          <w:rFonts w:ascii="Times New Roman" w:eastAsia="Times New Roman" w:hAnsi="Times New Roman" w:cs="Times New Roman"/>
          <w:color w:val="000000"/>
          <w:sz w:val="20"/>
          <w:szCs w:val="20"/>
        </w:rPr>
        <w:t xml:space="preserve"> </w:t>
      </w:r>
    </w:p>
  </w:footnote>
  <w:footnote w:id="19">
    <w:p w14:paraId="285E1FD3" w14:textId="77777777" w:rsidR="001F0B45" w:rsidRDefault="001F0B45">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Artículo 19, Evaluación Nacional de los Organismos Garantes del Derecho a la Información 2018 (ENOGDAI 2018): </w:t>
      </w:r>
      <w:hyperlink r:id="rId9">
        <w:r>
          <w:rPr>
            <w:rFonts w:ascii="Times New Roman" w:eastAsia="Times New Roman" w:hAnsi="Times New Roman" w:cs="Times New Roman"/>
            <w:sz w:val="20"/>
            <w:szCs w:val="20"/>
            <w:u w:val="single"/>
          </w:rPr>
          <w:t>ht</w:t>
        </w:r>
      </w:hyperlink>
      <w:hyperlink r:id="rId10">
        <w:r>
          <w:rPr>
            <w:rFonts w:ascii="Times New Roman" w:eastAsia="Times New Roman" w:hAnsi="Times New Roman" w:cs="Times New Roman"/>
            <w:color w:val="1155CC"/>
            <w:sz w:val="20"/>
            <w:szCs w:val="20"/>
            <w:u w:val="single"/>
          </w:rPr>
          <w:t>tps://enogdai.org/</w:t>
        </w:r>
      </w:hyperlink>
      <w:r>
        <w:rPr>
          <w:rFonts w:ascii="Times New Roman" w:eastAsia="Times New Roman" w:hAnsi="Times New Roman" w:cs="Times New Roman"/>
          <w:sz w:val="20"/>
          <w:szCs w:val="20"/>
        </w:rPr>
        <w:t xml:space="preserve"> </w:t>
      </w:r>
    </w:p>
  </w:footnote>
  <w:footnote w:id="20">
    <w:p w14:paraId="3DF7A6E3" w14:textId="03C3F5A6" w:rsidR="001F0B45" w:rsidRDefault="001F0B45">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INEGI, Censo Nacional de Transparencia, Acceso a la Información Pública y Protección de Datos Personales (CNTAIPPDPF). </w:t>
      </w:r>
      <w:hyperlink r:id="rId11">
        <w:r>
          <w:rPr>
            <w:rFonts w:ascii="Times New Roman" w:eastAsia="Times New Roman" w:hAnsi="Times New Roman" w:cs="Times New Roman"/>
            <w:color w:val="1155CC"/>
            <w:sz w:val="20"/>
            <w:szCs w:val="20"/>
            <w:u w:val="single"/>
          </w:rPr>
          <w:t>https://www.inegi.org.mx/programas/cntaippdpf/</w:t>
        </w:r>
      </w:hyperlink>
      <w:r>
        <w:rPr>
          <w:rFonts w:ascii="Times New Roman" w:eastAsia="Times New Roman" w:hAnsi="Times New Roman" w:cs="Times New Roman"/>
          <w:sz w:val="20"/>
          <w:szCs w:val="20"/>
        </w:rPr>
        <w:t xml:space="preserve"> </w:t>
      </w:r>
    </w:p>
  </w:footnote>
  <w:footnote w:id="21">
    <w:p w14:paraId="60CA2602" w14:textId="77777777" w:rsidR="001F0B45" w:rsidRDefault="001F0B45">
      <w:pPr>
        <w:pBdr>
          <w:top w:val="nil"/>
          <w:left w:val="nil"/>
          <w:bottom w:val="nil"/>
          <w:right w:val="nil"/>
          <w:between w:val="nil"/>
        </w:pBdr>
        <w:jc w:val="both"/>
        <w:rPr>
          <w:rFonts w:ascii="Times New Roman" w:eastAsia="Times New Roman" w:hAnsi="Times New Roman" w:cs="Times New Roman"/>
          <w:color w:val="000000"/>
          <w:sz w:val="20"/>
          <w:szCs w:val="20"/>
        </w:rPr>
      </w:pPr>
      <w:r w:rsidRPr="00A75300">
        <w:rPr>
          <w:vertAlign w:val="superscript"/>
        </w:rPr>
        <w:footnoteRef/>
      </w:r>
      <w:r w:rsidRPr="00A75300">
        <w:rPr>
          <w:rFonts w:ascii="Times New Roman" w:eastAsia="Times New Roman" w:hAnsi="Times New Roman" w:cs="Times New Roman"/>
          <w:color w:val="000000"/>
          <w:sz w:val="20"/>
          <w:szCs w:val="20"/>
        </w:rPr>
        <w:t xml:space="preserve"> Se sugiere que la Comisión Nacional de los Derechos Humanos tenga participación, a fin de que oriente, supervise y/o revise el contenido del material sobre la incorporación de los principios de igualdad y no discriminación sobre el acceso a la información pública y la transparencia, en virtud de que una de sus funciones consiste en promover el estudio, la enseñanza y divulgación de los derechos humanos en el ámbito nacional e internacional, así como impulsar la observancia de los derechos humanos en México.</w:t>
      </w:r>
    </w:p>
  </w:footnote>
  <w:footnote w:id="22">
    <w:p w14:paraId="462108DF" w14:textId="77777777" w:rsidR="001F0B45" w:rsidRPr="00A75300" w:rsidRDefault="001F0B45">
      <w:pPr>
        <w:jc w:val="both"/>
        <w:rPr>
          <w:rFonts w:ascii="Times New Roman" w:eastAsia="Times New Roman" w:hAnsi="Times New Roman" w:cs="Times New Roman"/>
          <w:sz w:val="20"/>
          <w:szCs w:val="20"/>
        </w:rPr>
      </w:pPr>
      <w:r w:rsidRPr="00A75300">
        <w:rPr>
          <w:vertAlign w:val="superscript"/>
        </w:rPr>
        <w:footnoteRef/>
      </w:r>
      <w:r w:rsidRPr="00A75300">
        <w:rPr>
          <w:rFonts w:ascii="Times New Roman" w:eastAsia="Times New Roman" w:hAnsi="Times New Roman" w:cs="Times New Roman"/>
          <w:sz w:val="20"/>
          <w:szCs w:val="20"/>
        </w:rPr>
        <w:t xml:space="preserve"> En casos los extremos en 2021 se observan situaciones donde no hay recursos desechados como en Aguascalientes y Chiapas o donde se alcanza hasta la mitad de recursos recibidos como en Baja California Sur, Durango, Guerrero, Michoacán, Puebla, Tlaxcala y Zacatecas </w:t>
      </w:r>
    </w:p>
  </w:footnote>
  <w:footnote w:id="23">
    <w:p w14:paraId="7C5E2D4C" w14:textId="77777777" w:rsidR="001F0B45" w:rsidRPr="00A75300" w:rsidRDefault="001F0B45">
      <w:pPr>
        <w:jc w:val="both"/>
        <w:rPr>
          <w:rFonts w:ascii="Times New Roman" w:eastAsia="Times New Roman" w:hAnsi="Times New Roman" w:cs="Times New Roman"/>
          <w:sz w:val="20"/>
          <w:szCs w:val="20"/>
        </w:rPr>
      </w:pPr>
      <w:r w:rsidRPr="00A75300">
        <w:rPr>
          <w:vertAlign w:val="superscript"/>
        </w:rPr>
        <w:footnoteRef/>
      </w:r>
      <w:r w:rsidRPr="00A75300">
        <w:rPr>
          <w:rFonts w:ascii="Times New Roman" w:eastAsia="Times New Roman" w:hAnsi="Times New Roman" w:cs="Times New Roman"/>
          <w:sz w:val="20"/>
          <w:szCs w:val="20"/>
        </w:rPr>
        <w:t xml:space="preserve"> </w:t>
      </w:r>
      <w:r w:rsidRPr="00A75300">
        <w:rPr>
          <w:rFonts w:ascii="Times New Roman" w:eastAsia="Times New Roman" w:hAnsi="Times New Roman" w:cs="Times New Roman"/>
          <w:b/>
          <w:sz w:val="20"/>
          <w:szCs w:val="20"/>
        </w:rPr>
        <w:t xml:space="preserve">Artículo 142. </w:t>
      </w:r>
      <w:r w:rsidRPr="00A75300">
        <w:rPr>
          <w:rFonts w:ascii="Times New Roman" w:eastAsia="Times New Roman" w:hAnsi="Times New Roman" w:cs="Times New Roman"/>
          <w:sz w:val="20"/>
          <w:szCs w:val="20"/>
        </w:rPr>
        <w:t>El solicitante podrá interponer, por sí mismo o a través de su representante, de manera directa o por medios electrónicos, recurso de revisión ante el organismo garante que corresponda o ante la Unidad de Transparencia que haya conocido de la solicitud dentro de los quince días siguientes a la fecha de la notificación de la respuesta, o del vencimiento del plazo para su notificación.</w:t>
      </w:r>
    </w:p>
    <w:p w14:paraId="43FCB817" w14:textId="77777777" w:rsidR="001F0B45" w:rsidRPr="00A75300" w:rsidRDefault="001F0B45">
      <w:pPr>
        <w:spacing w:line="276" w:lineRule="auto"/>
        <w:ind w:firstLine="280"/>
        <w:jc w:val="both"/>
        <w:rPr>
          <w:rFonts w:ascii="Times New Roman" w:eastAsia="Times New Roman" w:hAnsi="Times New Roman" w:cs="Times New Roman"/>
          <w:sz w:val="20"/>
          <w:szCs w:val="20"/>
        </w:rPr>
      </w:pPr>
      <w:r w:rsidRPr="00A75300">
        <w:rPr>
          <w:rFonts w:ascii="Times New Roman" w:eastAsia="Times New Roman" w:hAnsi="Times New Roman" w:cs="Times New Roman"/>
          <w:sz w:val="20"/>
          <w:szCs w:val="20"/>
        </w:rPr>
        <w:t>En el caso de que se interponga ante la Unidad de Transparencia, ésta deberá remitir el recurso de revisión al organismo garante que corresponda a más tardar al día siguiente de haberlo recibido.</w:t>
      </w:r>
    </w:p>
  </w:footnote>
  <w:footnote w:id="24">
    <w:p w14:paraId="512F3162" w14:textId="77777777" w:rsidR="001F0B45" w:rsidRPr="00A75300" w:rsidRDefault="001F0B45">
      <w:pPr>
        <w:jc w:val="both"/>
        <w:rPr>
          <w:rFonts w:ascii="Times New Roman" w:eastAsia="Times New Roman" w:hAnsi="Times New Roman" w:cs="Times New Roman"/>
          <w:sz w:val="20"/>
          <w:szCs w:val="20"/>
        </w:rPr>
      </w:pPr>
      <w:r w:rsidRPr="00A75300">
        <w:rPr>
          <w:vertAlign w:val="superscript"/>
        </w:rPr>
        <w:footnoteRef/>
      </w:r>
      <w:r w:rsidRPr="00A75300">
        <w:rPr>
          <w:rFonts w:ascii="Times New Roman" w:eastAsia="Times New Roman" w:hAnsi="Times New Roman" w:cs="Times New Roman"/>
          <w:sz w:val="20"/>
          <w:szCs w:val="20"/>
        </w:rPr>
        <w:t xml:space="preserve"> </w:t>
      </w:r>
      <w:r w:rsidRPr="00A75300">
        <w:rPr>
          <w:rFonts w:ascii="Times New Roman" w:eastAsia="Times New Roman" w:hAnsi="Times New Roman" w:cs="Times New Roman"/>
          <w:b/>
          <w:sz w:val="20"/>
          <w:szCs w:val="20"/>
        </w:rPr>
        <w:t xml:space="preserve">Artículo 143. </w:t>
      </w:r>
      <w:r w:rsidRPr="00A75300">
        <w:rPr>
          <w:rFonts w:ascii="Times New Roman" w:eastAsia="Times New Roman" w:hAnsi="Times New Roman" w:cs="Times New Roman"/>
          <w:sz w:val="20"/>
          <w:szCs w:val="20"/>
        </w:rPr>
        <w:t>El recurso de revisión procederá en contra de:</w:t>
      </w:r>
    </w:p>
    <w:p w14:paraId="1A864D14" w14:textId="77777777" w:rsidR="001F0B45" w:rsidRPr="00A75300" w:rsidRDefault="001F0B45">
      <w:pPr>
        <w:spacing w:line="276" w:lineRule="auto"/>
        <w:ind w:left="1000" w:hanging="720"/>
        <w:jc w:val="both"/>
        <w:rPr>
          <w:rFonts w:ascii="Times New Roman" w:eastAsia="Times New Roman" w:hAnsi="Times New Roman" w:cs="Times New Roman"/>
          <w:sz w:val="20"/>
          <w:szCs w:val="20"/>
        </w:rPr>
      </w:pPr>
      <w:r w:rsidRPr="00A75300">
        <w:rPr>
          <w:rFonts w:ascii="Times New Roman" w:eastAsia="Times New Roman" w:hAnsi="Times New Roman" w:cs="Times New Roman"/>
          <w:b/>
          <w:sz w:val="20"/>
          <w:szCs w:val="20"/>
        </w:rPr>
        <w:t xml:space="preserve">I.            </w:t>
      </w:r>
      <w:r w:rsidRPr="00A75300">
        <w:rPr>
          <w:rFonts w:ascii="Times New Roman" w:eastAsia="Times New Roman" w:hAnsi="Times New Roman" w:cs="Times New Roman"/>
          <w:b/>
          <w:sz w:val="20"/>
          <w:szCs w:val="20"/>
        </w:rPr>
        <w:tab/>
      </w:r>
      <w:r w:rsidRPr="00A75300">
        <w:rPr>
          <w:rFonts w:ascii="Times New Roman" w:eastAsia="Times New Roman" w:hAnsi="Times New Roman" w:cs="Times New Roman"/>
          <w:sz w:val="20"/>
          <w:szCs w:val="20"/>
        </w:rPr>
        <w:t>La clasificación de la información;</w:t>
      </w:r>
    </w:p>
    <w:p w14:paraId="2D47AEE4" w14:textId="77777777" w:rsidR="001F0B45" w:rsidRPr="00A75300" w:rsidRDefault="001F0B45">
      <w:pPr>
        <w:spacing w:line="276" w:lineRule="auto"/>
        <w:ind w:left="1000" w:hanging="720"/>
        <w:jc w:val="both"/>
        <w:rPr>
          <w:rFonts w:ascii="Times New Roman" w:eastAsia="Times New Roman" w:hAnsi="Times New Roman" w:cs="Times New Roman"/>
          <w:sz w:val="20"/>
          <w:szCs w:val="20"/>
        </w:rPr>
      </w:pPr>
      <w:r w:rsidRPr="00A75300">
        <w:rPr>
          <w:rFonts w:ascii="Times New Roman" w:eastAsia="Times New Roman" w:hAnsi="Times New Roman" w:cs="Times New Roman"/>
          <w:b/>
          <w:sz w:val="20"/>
          <w:szCs w:val="20"/>
        </w:rPr>
        <w:t xml:space="preserve">II.           </w:t>
      </w:r>
      <w:r w:rsidRPr="00A75300">
        <w:rPr>
          <w:rFonts w:ascii="Times New Roman" w:eastAsia="Times New Roman" w:hAnsi="Times New Roman" w:cs="Times New Roman"/>
          <w:b/>
          <w:sz w:val="20"/>
          <w:szCs w:val="20"/>
        </w:rPr>
        <w:tab/>
      </w:r>
      <w:r w:rsidRPr="00A75300">
        <w:rPr>
          <w:rFonts w:ascii="Times New Roman" w:eastAsia="Times New Roman" w:hAnsi="Times New Roman" w:cs="Times New Roman"/>
          <w:sz w:val="20"/>
          <w:szCs w:val="20"/>
        </w:rPr>
        <w:t>La declaración de inexistencia de información;</w:t>
      </w:r>
    </w:p>
    <w:p w14:paraId="320D2444" w14:textId="77777777" w:rsidR="001F0B45" w:rsidRPr="00A75300" w:rsidRDefault="001F0B45">
      <w:pPr>
        <w:spacing w:line="276" w:lineRule="auto"/>
        <w:ind w:left="1000" w:hanging="720"/>
        <w:jc w:val="both"/>
        <w:rPr>
          <w:rFonts w:ascii="Times New Roman" w:eastAsia="Times New Roman" w:hAnsi="Times New Roman" w:cs="Times New Roman"/>
          <w:sz w:val="20"/>
          <w:szCs w:val="20"/>
        </w:rPr>
      </w:pPr>
      <w:r w:rsidRPr="00A75300">
        <w:rPr>
          <w:rFonts w:ascii="Times New Roman" w:eastAsia="Times New Roman" w:hAnsi="Times New Roman" w:cs="Times New Roman"/>
          <w:b/>
          <w:sz w:val="20"/>
          <w:szCs w:val="20"/>
        </w:rPr>
        <w:t xml:space="preserve">III.          </w:t>
      </w:r>
      <w:r w:rsidRPr="00A75300">
        <w:rPr>
          <w:rFonts w:ascii="Times New Roman" w:eastAsia="Times New Roman" w:hAnsi="Times New Roman" w:cs="Times New Roman"/>
          <w:b/>
          <w:sz w:val="20"/>
          <w:szCs w:val="20"/>
        </w:rPr>
        <w:tab/>
      </w:r>
      <w:r w:rsidRPr="00A75300">
        <w:rPr>
          <w:rFonts w:ascii="Times New Roman" w:eastAsia="Times New Roman" w:hAnsi="Times New Roman" w:cs="Times New Roman"/>
          <w:sz w:val="20"/>
          <w:szCs w:val="20"/>
        </w:rPr>
        <w:t>La declaración de incompetencia por el sujeto obligado;</w:t>
      </w:r>
    </w:p>
    <w:p w14:paraId="3D350A76" w14:textId="77777777" w:rsidR="001F0B45" w:rsidRPr="00A75300" w:rsidRDefault="001F0B45">
      <w:pPr>
        <w:spacing w:line="276" w:lineRule="auto"/>
        <w:ind w:left="1000" w:hanging="720"/>
        <w:jc w:val="both"/>
        <w:rPr>
          <w:rFonts w:ascii="Times New Roman" w:eastAsia="Times New Roman" w:hAnsi="Times New Roman" w:cs="Times New Roman"/>
          <w:sz w:val="20"/>
          <w:szCs w:val="20"/>
        </w:rPr>
      </w:pPr>
      <w:r w:rsidRPr="00A75300">
        <w:rPr>
          <w:rFonts w:ascii="Times New Roman" w:eastAsia="Times New Roman" w:hAnsi="Times New Roman" w:cs="Times New Roman"/>
          <w:b/>
          <w:sz w:val="20"/>
          <w:szCs w:val="20"/>
        </w:rPr>
        <w:t xml:space="preserve">IV.         </w:t>
      </w:r>
      <w:r w:rsidRPr="00A75300">
        <w:rPr>
          <w:rFonts w:ascii="Times New Roman" w:eastAsia="Times New Roman" w:hAnsi="Times New Roman" w:cs="Times New Roman"/>
          <w:b/>
          <w:sz w:val="20"/>
          <w:szCs w:val="20"/>
        </w:rPr>
        <w:tab/>
      </w:r>
      <w:r w:rsidRPr="00A75300">
        <w:rPr>
          <w:rFonts w:ascii="Times New Roman" w:eastAsia="Times New Roman" w:hAnsi="Times New Roman" w:cs="Times New Roman"/>
          <w:sz w:val="20"/>
          <w:szCs w:val="20"/>
        </w:rPr>
        <w:t>La entrega de información incompleta;</w:t>
      </w:r>
    </w:p>
    <w:p w14:paraId="36DF2ED4" w14:textId="77777777" w:rsidR="001F0B45" w:rsidRPr="00A75300" w:rsidRDefault="001F0B45">
      <w:pPr>
        <w:spacing w:line="276" w:lineRule="auto"/>
        <w:ind w:left="1000" w:hanging="720"/>
        <w:jc w:val="both"/>
        <w:rPr>
          <w:rFonts w:ascii="Times New Roman" w:eastAsia="Times New Roman" w:hAnsi="Times New Roman" w:cs="Times New Roman"/>
          <w:sz w:val="20"/>
          <w:szCs w:val="20"/>
        </w:rPr>
      </w:pPr>
      <w:r w:rsidRPr="00A75300">
        <w:rPr>
          <w:rFonts w:ascii="Times New Roman" w:eastAsia="Times New Roman" w:hAnsi="Times New Roman" w:cs="Times New Roman"/>
          <w:b/>
          <w:sz w:val="20"/>
          <w:szCs w:val="20"/>
        </w:rPr>
        <w:t xml:space="preserve">V.          </w:t>
      </w:r>
      <w:r w:rsidRPr="00A75300">
        <w:rPr>
          <w:rFonts w:ascii="Times New Roman" w:eastAsia="Times New Roman" w:hAnsi="Times New Roman" w:cs="Times New Roman"/>
          <w:b/>
          <w:sz w:val="20"/>
          <w:szCs w:val="20"/>
        </w:rPr>
        <w:tab/>
      </w:r>
      <w:r w:rsidRPr="00A75300">
        <w:rPr>
          <w:rFonts w:ascii="Times New Roman" w:eastAsia="Times New Roman" w:hAnsi="Times New Roman" w:cs="Times New Roman"/>
          <w:sz w:val="20"/>
          <w:szCs w:val="20"/>
        </w:rPr>
        <w:t>La entrega de información que no corresponda con lo solicitado;</w:t>
      </w:r>
    </w:p>
    <w:p w14:paraId="2B144C50" w14:textId="77777777" w:rsidR="001F0B45" w:rsidRPr="00A75300" w:rsidRDefault="001F0B45">
      <w:pPr>
        <w:spacing w:line="276" w:lineRule="auto"/>
        <w:ind w:left="1000" w:hanging="720"/>
        <w:jc w:val="both"/>
        <w:rPr>
          <w:rFonts w:ascii="Times New Roman" w:eastAsia="Times New Roman" w:hAnsi="Times New Roman" w:cs="Times New Roman"/>
          <w:sz w:val="20"/>
          <w:szCs w:val="20"/>
        </w:rPr>
      </w:pPr>
      <w:r w:rsidRPr="00A75300">
        <w:rPr>
          <w:rFonts w:ascii="Times New Roman" w:eastAsia="Times New Roman" w:hAnsi="Times New Roman" w:cs="Times New Roman"/>
          <w:b/>
          <w:sz w:val="20"/>
          <w:szCs w:val="20"/>
        </w:rPr>
        <w:t xml:space="preserve">VI.         </w:t>
      </w:r>
      <w:r w:rsidRPr="00A75300">
        <w:rPr>
          <w:rFonts w:ascii="Times New Roman" w:eastAsia="Times New Roman" w:hAnsi="Times New Roman" w:cs="Times New Roman"/>
          <w:b/>
          <w:sz w:val="20"/>
          <w:szCs w:val="20"/>
        </w:rPr>
        <w:tab/>
      </w:r>
      <w:r w:rsidRPr="00A75300">
        <w:rPr>
          <w:rFonts w:ascii="Times New Roman" w:eastAsia="Times New Roman" w:hAnsi="Times New Roman" w:cs="Times New Roman"/>
          <w:sz w:val="20"/>
          <w:szCs w:val="20"/>
        </w:rPr>
        <w:t>La falta de respuesta a una solicitud de acceso a la información dentro de los plazos establecidos en la ley;</w:t>
      </w:r>
    </w:p>
    <w:p w14:paraId="44C075F9" w14:textId="77777777" w:rsidR="001F0B45" w:rsidRPr="00A75300" w:rsidRDefault="001F0B45">
      <w:pPr>
        <w:spacing w:line="276" w:lineRule="auto"/>
        <w:ind w:left="1000" w:hanging="720"/>
        <w:jc w:val="both"/>
        <w:rPr>
          <w:rFonts w:ascii="Times New Roman" w:eastAsia="Times New Roman" w:hAnsi="Times New Roman" w:cs="Times New Roman"/>
          <w:sz w:val="20"/>
          <w:szCs w:val="20"/>
        </w:rPr>
      </w:pPr>
      <w:r w:rsidRPr="00A75300">
        <w:rPr>
          <w:rFonts w:ascii="Times New Roman" w:eastAsia="Times New Roman" w:hAnsi="Times New Roman" w:cs="Times New Roman"/>
          <w:b/>
          <w:sz w:val="20"/>
          <w:szCs w:val="20"/>
        </w:rPr>
        <w:t xml:space="preserve">VII.        </w:t>
      </w:r>
      <w:r w:rsidRPr="00A75300">
        <w:rPr>
          <w:rFonts w:ascii="Times New Roman" w:eastAsia="Times New Roman" w:hAnsi="Times New Roman" w:cs="Times New Roman"/>
          <w:b/>
          <w:sz w:val="20"/>
          <w:szCs w:val="20"/>
        </w:rPr>
        <w:tab/>
      </w:r>
      <w:r w:rsidRPr="00A75300">
        <w:rPr>
          <w:rFonts w:ascii="Times New Roman" w:eastAsia="Times New Roman" w:hAnsi="Times New Roman" w:cs="Times New Roman"/>
          <w:sz w:val="20"/>
          <w:szCs w:val="20"/>
        </w:rPr>
        <w:t>La notificación, entrega o puesta a disposición de información en una modalidad o formato distinto al solicitado;</w:t>
      </w:r>
    </w:p>
    <w:p w14:paraId="267AB44A" w14:textId="77777777" w:rsidR="001F0B45" w:rsidRPr="00A75300" w:rsidRDefault="001F0B45">
      <w:pPr>
        <w:spacing w:line="276" w:lineRule="auto"/>
        <w:ind w:left="1000" w:hanging="720"/>
        <w:jc w:val="both"/>
        <w:rPr>
          <w:rFonts w:ascii="Times New Roman" w:eastAsia="Times New Roman" w:hAnsi="Times New Roman" w:cs="Times New Roman"/>
          <w:sz w:val="20"/>
          <w:szCs w:val="20"/>
        </w:rPr>
      </w:pPr>
      <w:r w:rsidRPr="00A75300">
        <w:rPr>
          <w:rFonts w:ascii="Times New Roman" w:eastAsia="Times New Roman" w:hAnsi="Times New Roman" w:cs="Times New Roman"/>
          <w:b/>
          <w:sz w:val="20"/>
          <w:szCs w:val="20"/>
        </w:rPr>
        <w:t xml:space="preserve">VIII.       </w:t>
      </w:r>
      <w:r w:rsidRPr="00A75300">
        <w:rPr>
          <w:rFonts w:ascii="Times New Roman" w:eastAsia="Times New Roman" w:hAnsi="Times New Roman" w:cs="Times New Roman"/>
          <w:b/>
          <w:sz w:val="20"/>
          <w:szCs w:val="20"/>
        </w:rPr>
        <w:tab/>
      </w:r>
      <w:r w:rsidRPr="00A75300">
        <w:rPr>
          <w:rFonts w:ascii="Times New Roman" w:eastAsia="Times New Roman" w:hAnsi="Times New Roman" w:cs="Times New Roman"/>
          <w:sz w:val="20"/>
          <w:szCs w:val="20"/>
        </w:rPr>
        <w:t>La entrega o puesta a disposición de información en un formato incomprensible y/o no accesible para el solicitante;</w:t>
      </w:r>
    </w:p>
    <w:p w14:paraId="4C6344C3" w14:textId="77777777" w:rsidR="001F0B45" w:rsidRPr="00A75300" w:rsidRDefault="001F0B45">
      <w:pPr>
        <w:spacing w:line="276" w:lineRule="auto"/>
        <w:ind w:left="1000" w:hanging="720"/>
        <w:jc w:val="both"/>
        <w:rPr>
          <w:rFonts w:ascii="Times New Roman" w:eastAsia="Times New Roman" w:hAnsi="Times New Roman" w:cs="Times New Roman"/>
          <w:sz w:val="20"/>
          <w:szCs w:val="20"/>
        </w:rPr>
      </w:pPr>
      <w:r w:rsidRPr="00A75300">
        <w:rPr>
          <w:rFonts w:ascii="Times New Roman" w:eastAsia="Times New Roman" w:hAnsi="Times New Roman" w:cs="Times New Roman"/>
          <w:b/>
          <w:sz w:val="20"/>
          <w:szCs w:val="20"/>
        </w:rPr>
        <w:t xml:space="preserve">IX.         </w:t>
      </w:r>
      <w:r w:rsidRPr="00A75300">
        <w:rPr>
          <w:rFonts w:ascii="Times New Roman" w:eastAsia="Times New Roman" w:hAnsi="Times New Roman" w:cs="Times New Roman"/>
          <w:b/>
          <w:sz w:val="20"/>
          <w:szCs w:val="20"/>
        </w:rPr>
        <w:tab/>
      </w:r>
      <w:r w:rsidRPr="00A75300">
        <w:rPr>
          <w:rFonts w:ascii="Times New Roman" w:eastAsia="Times New Roman" w:hAnsi="Times New Roman" w:cs="Times New Roman"/>
          <w:sz w:val="20"/>
          <w:szCs w:val="20"/>
        </w:rPr>
        <w:t>Los costos o tiempos de entrega de la información;</w:t>
      </w:r>
    </w:p>
    <w:p w14:paraId="1751CA6E" w14:textId="77777777" w:rsidR="001F0B45" w:rsidRPr="00A75300" w:rsidRDefault="001F0B45">
      <w:pPr>
        <w:spacing w:line="276" w:lineRule="auto"/>
        <w:ind w:left="1000" w:hanging="720"/>
        <w:jc w:val="both"/>
        <w:rPr>
          <w:rFonts w:ascii="Times New Roman" w:eastAsia="Times New Roman" w:hAnsi="Times New Roman" w:cs="Times New Roman"/>
          <w:sz w:val="20"/>
          <w:szCs w:val="20"/>
        </w:rPr>
      </w:pPr>
      <w:r w:rsidRPr="00A75300">
        <w:rPr>
          <w:rFonts w:ascii="Times New Roman" w:eastAsia="Times New Roman" w:hAnsi="Times New Roman" w:cs="Times New Roman"/>
          <w:b/>
          <w:sz w:val="20"/>
          <w:szCs w:val="20"/>
        </w:rPr>
        <w:t xml:space="preserve">X.          </w:t>
      </w:r>
      <w:r w:rsidRPr="00A75300">
        <w:rPr>
          <w:rFonts w:ascii="Times New Roman" w:eastAsia="Times New Roman" w:hAnsi="Times New Roman" w:cs="Times New Roman"/>
          <w:b/>
          <w:sz w:val="20"/>
          <w:szCs w:val="20"/>
        </w:rPr>
        <w:tab/>
      </w:r>
      <w:r w:rsidRPr="00A75300">
        <w:rPr>
          <w:rFonts w:ascii="Times New Roman" w:eastAsia="Times New Roman" w:hAnsi="Times New Roman" w:cs="Times New Roman"/>
          <w:sz w:val="20"/>
          <w:szCs w:val="20"/>
        </w:rPr>
        <w:t>La falta de trámite a una solicitud;</w:t>
      </w:r>
    </w:p>
    <w:p w14:paraId="37CF8C6B" w14:textId="77777777" w:rsidR="001F0B45" w:rsidRPr="00A75300" w:rsidRDefault="001F0B45">
      <w:pPr>
        <w:spacing w:line="276" w:lineRule="auto"/>
        <w:ind w:left="1000" w:hanging="720"/>
        <w:jc w:val="both"/>
        <w:rPr>
          <w:rFonts w:ascii="Times New Roman" w:eastAsia="Times New Roman" w:hAnsi="Times New Roman" w:cs="Times New Roman"/>
          <w:sz w:val="20"/>
          <w:szCs w:val="20"/>
        </w:rPr>
      </w:pPr>
      <w:r w:rsidRPr="00A75300">
        <w:rPr>
          <w:rFonts w:ascii="Times New Roman" w:eastAsia="Times New Roman" w:hAnsi="Times New Roman" w:cs="Times New Roman"/>
          <w:b/>
          <w:sz w:val="20"/>
          <w:szCs w:val="20"/>
        </w:rPr>
        <w:t xml:space="preserve">XI.         </w:t>
      </w:r>
      <w:r w:rsidRPr="00A75300">
        <w:rPr>
          <w:rFonts w:ascii="Times New Roman" w:eastAsia="Times New Roman" w:hAnsi="Times New Roman" w:cs="Times New Roman"/>
          <w:b/>
          <w:sz w:val="20"/>
          <w:szCs w:val="20"/>
        </w:rPr>
        <w:tab/>
      </w:r>
      <w:r w:rsidRPr="00A75300">
        <w:rPr>
          <w:rFonts w:ascii="Times New Roman" w:eastAsia="Times New Roman" w:hAnsi="Times New Roman" w:cs="Times New Roman"/>
          <w:sz w:val="20"/>
          <w:szCs w:val="20"/>
        </w:rPr>
        <w:t>La negativa a permitir la consulta directa de la información;</w:t>
      </w:r>
    </w:p>
    <w:p w14:paraId="304AB007" w14:textId="77777777" w:rsidR="001F0B45" w:rsidRPr="00A75300" w:rsidRDefault="001F0B45">
      <w:pPr>
        <w:spacing w:line="276" w:lineRule="auto"/>
        <w:ind w:left="1000" w:hanging="720"/>
        <w:jc w:val="both"/>
        <w:rPr>
          <w:rFonts w:ascii="Times New Roman" w:eastAsia="Times New Roman" w:hAnsi="Times New Roman" w:cs="Times New Roman"/>
          <w:sz w:val="20"/>
          <w:szCs w:val="20"/>
        </w:rPr>
      </w:pPr>
      <w:r w:rsidRPr="00A75300">
        <w:rPr>
          <w:rFonts w:ascii="Times New Roman" w:eastAsia="Times New Roman" w:hAnsi="Times New Roman" w:cs="Times New Roman"/>
          <w:b/>
          <w:sz w:val="20"/>
          <w:szCs w:val="20"/>
        </w:rPr>
        <w:t xml:space="preserve">XII.        </w:t>
      </w:r>
      <w:r w:rsidRPr="00A75300">
        <w:rPr>
          <w:rFonts w:ascii="Times New Roman" w:eastAsia="Times New Roman" w:hAnsi="Times New Roman" w:cs="Times New Roman"/>
          <w:b/>
          <w:sz w:val="20"/>
          <w:szCs w:val="20"/>
        </w:rPr>
        <w:tab/>
      </w:r>
      <w:r w:rsidRPr="00A75300">
        <w:rPr>
          <w:rFonts w:ascii="Times New Roman" w:eastAsia="Times New Roman" w:hAnsi="Times New Roman" w:cs="Times New Roman"/>
          <w:sz w:val="20"/>
          <w:szCs w:val="20"/>
        </w:rPr>
        <w:t>La falta, deficiencia o insuficiencia de la fundamentación y/o motivación en la respuesta, o</w:t>
      </w:r>
    </w:p>
    <w:p w14:paraId="3C4FB723" w14:textId="77777777" w:rsidR="001F0B45" w:rsidRPr="00A75300" w:rsidRDefault="001F0B45">
      <w:pPr>
        <w:spacing w:line="276" w:lineRule="auto"/>
        <w:ind w:left="1000" w:hanging="720"/>
        <w:jc w:val="both"/>
        <w:rPr>
          <w:rFonts w:ascii="Times New Roman" w:eastAsia="Times New Roman" w:hAnsi="Times New Roman" w:cs="Times New Roman"/>
          <w:sz w:val="20"/>
          <w:szCs w:val="20"/>
        </w:rPr>
      </w:pPr>
      <w:r w:rsidRPr="00A75300">
        <w:rPr>
          <w:rFonts w:ascii="Times New Roman" w:eastAsia="Times New Roman" w:hAnsi="Times New Roman" w:cs="Times New Roman"/>
          <w:b/>
          <w:sz w:val="20"/>
          <w:szCs w:val="20"/>
        </w:rPr>
        <w:t xml:space="preserve">XIII.       </w:t>
      </w:r>
      <w:r w:rsidRPr="00A75300">
        <w:rPr>
          <w:rFonts w:ascii="Times New Roman" w:eastAsia="Times New Roman" w:hAnsi="Times New Roman" w:cs="Times New Roman"/>
          <w:b/>
          <w:sz w:val="20"/>
          <w:szCs w:val="20"/>
        </w:rPr>
        <w:tab/>
      </w:r>
      <w:r w:rsidRPr="00A75300">
        <w:rPr>
          <w:rFonts w:ascii="Times New Roman" w:eastAsia="Times New Roman" w:hAnsi="Times New Roman" w:cs="Times New Roman"/>
          <w:sz w:val="20"/>
          <w:szCs w:val="20"/>
        </w:rPr>
        <w:t>La orientación a un trámite específico.</w:t>
      </w:r>
    </w:p>
    <w:p w14:paraId="59319533" w14:textId="77777777" w:rsidR="001F0B45" w:rsidRPr="00A75300" w:rsidRDefault="001F0B45">
      <w:pPr>
        <w:spacing w:line="276" w:lineRule="auto"/>
        <w:ind w:firstLine="280"/>
        <w:jc w:val="both"/>
        <w:rPr>
          <w:rFonts w:ascii="Times New Roman" w:eastAsia="Times New Roman" w:hAnsi="Times New Roman" w:cs="Times New Roman"/>
          <w:sz w:val="20"/>
          <w:szCs w:val="20"/>
        </w:rPr>
      </w:pPr>
      <w:r w:rsidRPr="00A75300">
        <w:rPr>
          <w:rFonts w:ascii="Times New Roman" w:eastAsia="Times New Roman" w:hAnsi="Times New Roman" w:cs="Times New Roman"/>
          <w:sz w:val="20"/>
          <w:szCs w:val="20"/>
        </w:rPr>
        <w:t>La respuesta que den los sujetos obligados derivada de la resolución a un recurso de revisión que proceda por las causales señaladas en las fracciones III, VI, VIII, IX, X y XI es susceptible de ser impugnada de nueva cuenta, mediante recurso de revisión, ante el organismo garante correspondiente.</w:t>
      </w:r>
    </w:p>
  </w:footnote>
  <w:footnote w:id="25">
    <w:p w14:paraId="5E35BD69" w14:textId="77777777" w:rsidR="001F0B45" w:rsidRPr="00A75300" w:rsidRDefault="001F0B45">
      <w:pPr>
        <w:jc w:val="both"/>
        <w:rPr>
          <w:rFonts w:ascii="Times New Roman" w:eastAsia="Times New Roman" w:hAnsi="Times New Roman" w:cs="Times New Roman"/>
          <w:sz w:val="20"/>
          <w:szCs w:val="20"/>
        </w:rPr>
      </w:pPr>
      <w:r w:rsidRPr="00A75300">
        <w:rPr>
          <w:vertAlign w:val="superscript"/>
        </w:rPr>
        <w:footnoteRef/>
      </w:r>
      <w:r w:rsidRPr="00A75300">
        <w:rPr>
          <w:rFonts w:ascii="Times New Roman" w:eastAsia="Times New Roman" w:hAnsi="Times New Roman" w:cs="Times New Roman"/>
          <w:sz w:val="20"/>
          <w:szCs w:val="20"/>
        </w:rPr>
        <w:t xml:space="preserve"> </w:t>
      </w:r>
      <w:r w:rsidRPr="00A75300">
        <w:rPr>
          <w:rFonts w:ascii="Times New Roman" w:eastAsia="Times New Roman" w:hAnsi="Times New Roman" w:cs="Times New Roman"/>
          <w:b/>
          <w:sz w:val="20"/>
          <w:szCs w:val="20"/>
        </w:rPr>
        <w:t xml:space="preserve">Artículo 145. </w:t>
      </w:r>
      <w:r w:rsidRPr="00A75300">
        <w:rPr>
          <w:rFonts w:ascii="Times New Roman" w:eastAsia="Times New Roman" w:hAnsi="Times New Roman" w:cs="Times New Roman"/>
          <w:sz w:val="20"/>
          <w:szCs w:val="20"/>
        </w:rPr>
        <w:t>Si el escrito de interposición del recurso no cumple con alguno de los requisitos establecidos en el artículo anterior y el organismo garante que corresponda no cuenta con elementos para subsanarlos, se prevendrá al recurrente, por una sola ocasión y a través del medio que haya elegido para recibir notificaciones, con el objeto de que subsane las omisiones dentro de un plazo que no podrá exceder de cinco días, contados a partir del día siguiente de la notificación de la prevención, con el apercibimiento de que, de no cumplir, se desechará el recurso de revisión.</w:t>
      </w:r>
    </w:p>
    <w:p w14:paraId="4EB056F6" w14:textId="77777777" w:rsidR="001F0B45" w:rsidRPr="00A75300" w:rsidRDefault="001F0B45">
      <w:pPr>
        <w:spacing w:line="276" w:lineRule="auto"/>
        <w:ind w:firstLine="280"/>
        <w:jc w:val="both"/>
        <w:rPr>
          <w:rFonts w:ascii="Times New Roman" w:eastAsia="Times New Roman" w:hAnsi="Times New Roman" w:cs="Times New Roman"/>
          <w:sz w:val="20"/>
          <w:szCs w:val="20"/>
        </w:rPr>
      </w:pPr>
      <w:r w:rsidRPr="00A75300">
        <w:rPr>
          <w:rFonts w:ascii="Times New Roman" w:eastAsia="Times New Roman" w:hAnsi="Times New Roman" w:cs="Times New Roman"/>
          <w:sz w:val="20"/>
          <w:szCs w:val="20"/>
        </w:rPr>
        <w:t>La prevención tendrá el efecto de interrumpir el plazo que tienen los Organismos garantes para resolver el recurso, por lo que comenzará a computarse a partir del día siguiente a su desahogo.</w:t>
      </w:r>
    </w:p>
    <w:p w14:paraId="5E04F1D5" w14:textId="77777777" w:rsidR="001F0B45" w:rsidRDefault="001F0B45">
      <w:pPr>
        <w:spacing w:line="276" w:lineRule="auto"/>
        <w:ind w:firstLine="280"/>
        <w:jc w:val="both"/>
        <w:rPr>
          <w:rFonts w:ascii="Times New Roman" w:eastAsia="Times New Roman" w:hAnsi="Times New Roman" w:cs="Times New Roman"/>
          <w:sz w:val="20"/>
          <w:szCs w:val="20"/>
        </w:rPr>
      </w:pPr>
      <w:r w:rsidRPr="00A75300">
        <w:rPr>
          <w:rFonts w:ascii="Times New Roman" w:eastAsia="Times New Roman" w:hAnsi="Times New Roman" w:cs="Times New Roman"/>
          <w:sz w:val="20"/>
          <w:szCs w:val="20"/>
        </w:rPr>
        <w:t>No podrá prevenirse por el nombre que proporcione el solicitante.</w:t>
      </w:r>
    </w:p>
  </w:footnote>
  <w:footnote w:id="26">
    <w:p w14:paraId="7EBE69BE" w14:textId="77777777" w:rsidR="001F0B45" w:rsidRDefault="001F0B45">
      <w:pPr>
        <w:jc w:val="both"/>
        <w:rPr>
          <w:rFonts w:ascii="Times New Roman" w:eastAsia="Times New Roman" w:hAnsi="Times New Roman" w:cs="Times New Roman"/>
          <w:sz w:val="20"/>
          <w:szCs w:val="20"/>
        </w:rPr>
      </w:pPr>
      <w:r w:rsidRPr="00A75300">
        <w:rPr>
          <w:vertAlign w:val="superscript"/>
        </w:rPr>
        <w:footnoteRef/>
      </w:r>
      <w:r w:rsidRPr="00A75300">
        <w:rPr>
          <w:rFonts w:ascii="Times New Roman" w:eastAsia="Times New Roman" w:hAnsi="Times New Roman" w:cs="Times New Roman"/>
          <w:sz w:val="20"/>
          <w:szCs w:val="20"/>
        </w:rPr>
        <w:t xml:space="preserve"> Se sugiere que la Comisión Nacional de los Derechos Humanos tenga participación, a fin de que oriente, supervise y/o revise el contenido del material sobre la incorporación de los principios de igualdad y no discriminación sobre el acceso a la información pública y la transparencia, en virtud de que una de sus funciones consiste en promover el estudio, la enseñanza y divulgación de los derechos humanos en el ámbito nacional e internacional, así como impulsar la observancia de los derechos humanos en México.</w:t>
      </w:r>
    </w:p>
  </w:footnote>
  <w:footnote w:id="27">
    <w:p w14:paraId="69EB9768" w14:textId="77777777" w:rsidR="001F0B45" w:rsidRPr="00BA784D" w:rsidRDefault="001F0B45">
      <w:pPr>
        <w:jc w:val="both"/>
        <w:rPr>
          <w:rFonts w:ascii="Times New Roman" w:eastAsia="Times New Roman" w:hAnsi="Times New Roman" w:cs="Times New Roman"/>
          <w:sz w:val="20"/>
          <w:szCs w:val="20"/>
        </w:rPr>
      </w:pPr>
      <w:r w:rsidRPr="00BA784D">
        <w:rPr>
          <w:vertAlign w:val="superscript"/>
        </w:rPr>
        <w:footnoteRef/>
      </w:r>
      <w:r w:rsidRPr="00BA784D">
        <w:rPr>
          <w:rFonts w:ascii="Times New Roman" w:eastAsia="Times New Roman" w:hAnsi="Times New Roman" w:cs="Times New Roman"/>
          <w:sz w:val="20"/>
          <w:szCs w:val="20"/>
        </w:rPr>
        <w:t xml:space="preserve">  La creación de alianzas y ampliación de redes de conocimiento se desarrollarán a fin de que se expanda -por ejemplo- a sujetos obligados, centros educativos u organizaciones de la sociedad civil diversas a las que se han colaborado en años anteriores; esto con el propósito de que el público objetivo de los mismos no sea el nicho consolidado al interior o al exterior del SNT.</w:t>
      </w:r>
    </w:p>
  </w:footnote>
  <w:footnote w:id="28">
    <w:p w14:paraId="0E1C5484" w14:textId="77777777" w:rsidR="001F0B45" w:rsidRDefault="001F0B45">
      <w:pPr>
        <w:jc w:val="both"/>
        <w:rPr>
          <w:rFonts w:ascii="Times New Roman" w:eastAsia="Times New Roman" w:hAnsi="Times New Roman" w:cs="Times New Roman"/>
          <w:sz w:val="20"/>
          <w:szCs w:val="20"/>
        </w:rPr>
      </w:pPr>
      <w:r w:rsidRPr="00BA784D">
        <w:rPr>
          <w:vertAlign w:val="superscript"/>
        </w:rPr>
        <w:footnoteRef/>
      </w:r>
      <w:r w:rsidRPr="00BA784D">
        <w:rPr>
          <w:rFonts w:ascii="Times New Roman" w:eastAsia="Times New Roman" w:hAnsi="Times New Roman" w:cs="Times New Roman"/>
          <w:sz w:val="20"/>
          <w:szCs w:val="20"/>
        </w:rPr>
        <w:t xml:space="preserve">  La creación de alianzas y ampliación de redes de conocimiento se desarrollarán a fin de que se expanda -por ejemplo- a sujetos obligados, centros educativos u organizaciones de la sociedad civil diversas a las que se han colaborado en años anteriores; esto con el propósito de que el público objetivo de los mismos no sea el nicho consolidado al interior o al exterior del SNT.</w:t>
      </w:r>
    </w:p>
  </w:footnote>
  <w:footnote w:id="29">
    <w:p w14:paraId="6FE2F65C" w14:textId="77777777" w:rsidR="001F0B45" w:rsidRDefault="001F0B45">
      <w:pPr>
        <w:jc w:val="both"/>
        <w:rPr>
          <w:rFonts w:ascii="Times New Roman" w:eastAsia="Times New Roman" w:hAnsi="Times New Roman" w:cs="Times New Roman"/>
          <w:sz w:val="20"/>
          <w:szCs w:val="20"/>
        </w:rPr>
      </w:pPr>
      <w:r w:rsidRPr="00A75300">
        <w:rPr>
          <w:vertAlign w:val="superscript"/>
        </w:rPr>
        <w:footnoteRef/>
      </w:r>
      <w:r w:rsidRPr="00A75300">
        <w:rPr>
          <w:rFonts w:ascii="Times New Roman" w:eastAsia="Times New Roman" w:hAnsi="Times New Roman" w:cs="Times New Roman"/>
          <w:sz w:val="20"/>
          <w:szCs w:val="20"/>
        </w:rPr>
        <w:t xml:space="preserve"> La creación de alianzas y ampliación de redes de conocimiento se desarrollarán a fin de que se expanda -por ejemplo- a sujetos obligados, centros educativos u organizaciones de la sociedad civil diversas a las que se han colaborado en años anteriores; esto con el propósito de que el público objetivo de los mismos no sea el nicho consolidado al interior o al exterior del SNT.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AEB0B" w14:textId="77777777" w:rsidR="001F0B45" w:rsidRDefault="001F0B45">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CBD71" w14:textId="77777777" w:rsidR="001F0B45" w:rsidRDefault="001F0B45">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14D26"/>
    <w:multiLevelType w:val="multilevel"/>
    <w:tmpl w:val="D97290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2276D1"/>
    <w:multiLevelType w:val="multilevel"/>
    <w:tmpl w:val="0FA8FA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F276B4"/>
    <w:multiLevelType w:val="multilevel"/>
    <w:tmpl w:val="503C8E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6336206"/>
    <w:multiLevelType w:val="multilevel"/>
    <w:tmpl w:val="B0ECC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DC3C65"/>
    <w:multiLevelType w:val="multilevel"/>
    <w:tmpl w:val="6EE2451C"/>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E956D1F"/>
    <w:multiLevelType w:val="multilevel"/>
    <w:tmpl w:val="09E4D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21320B"/>
    <w:multiLevelType w:val="multilevel"/>
    <w:tmpl w:val="29E6D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CFA2800"/>
    <w:multiLevelType w:val="multilevel"/>
    <w:tmpl w:val="7EC01A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DE61A31"/>
    <w:multiLevelType w:val="multilevel"/>
    <w:tmpl w:val="F11A1C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7FC7882"/>
    <w:multiLevelType w:val="hybridMultilevel"/>
    <w:tmpl w:val="E93A0114"/>
    <w:lvl w:ilvl="0" w:tplc="A1C4668A">
      <w:start w:val="1"/>
      <w:numFmt w:val="upperRoman"/>
      <w:lvlText w:val="%1."/>
      <w:lvlJc w:val="left"/>
      <w:pPr>
        <w:ind w:left="1080" w:hanging="72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DF100B1"/>
    <w:multiLevelType w:val="multilevel"/>
    <w:tmpl w:val="4FB08C16"/>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3F207796"/>
    <w:multiLevelType w:val="hybridMultilevel"/>
    <w:tmpl w:val="BE7AC672"/>
    <w:lvl w:ilvl="0" w:tplc="3948DF08">
      <w:start w:val="3"/>
      <w:numFmt w:val="decimal"/>
      <w:lvlText w:val="%1."/>
      <w:lvlJc w:val="left"/>
      <w:pPr>
        <w:ind w:left="1000" w:hanging="720"/>
      </w:pPr>
      <w:rPr>
        <w:rFonts w:ascii="Times New Roman" w:eastAsia="Times New Roman" w:hAnsi="Times New Roman" w:cs="Times New Roman" w:hint="default"/>
        <w:b/>
        <w:sz w:val="24"/>
      </w:rPr>
    </w:lvl>
    <w:lvl w:ilvl="1" w:tplc="080A0019" w:tentative="1">
      <w:start w:val="1"/>
      <w:numFmt w:val="lowerLetter"/>
      <w:lvlText w:val="%2."/>
      <w:lvlJc w:val="left"/>
      <w:pPr>
        <w:ind w:left="1360" w:hanging="360"/>
      </w:pPr>
    </w:lvl>
    <w:lvl w:ilvl="2" w:tplc="080A001B" w:tentative="1">
      <w:start w:val="1"/>
      <w:numFmt w:val="lowerRoman"/>
      <w:lvlText w:val="%3."/>
      <w:lvlJc w:val="right"/>
      <w:pPr>
        <w:ind w:left="2080" w:hanging="180"/>
      </w:pPr>
    </w:lvl>
    <w:lvl w:ilvl="3" w:tplc="080A000F" w:tentative="1">
      <w:start w:val="1"/>
      <w:numFmt w:val="decimal"/>
      <w:lvlText w:val="%4."/>
      <w:lvlJc w:val="left"/>
      <w:pPr>
        <w:ind w:left="2800" w:hanging="360"/>
      </w:pPr>
    </w:lvl>
    <w:lvl w:ilvl="4" w:tplc="080A0019" w:tentative="1">
      <w:start w:val="1"/>
      <w:numFmt w:val="lowerLetter"/>
      <w:lvlText w:val="%5."/>
      <w:lvlJc w:val="left"/>
      <w:pPr>
        <w:ind w:left="3520" w:hanging="360"/>
      </w:pPr>
    </w:lvl>
    <w:lvl w:ilvl="5" w:tplc="080A001B" w:tentative="1">
      <w:start w:val="1"/>
      <w:numFmt w:val="lowerRoman"/>
      <w:lvlText w:val="%6."/>
      <w:lvlJc w:val="right"/>
      <w:pPr>
        <w:ind w:left="4240" w:hanging="180"/>
      </w:pPr>
    </w:lvl>
    <w:lvl w:ilvl="6" w:tplc="080A000F" w:tentative="1">
      <w:start w:val="1"/>
      <w:numFmt w:val="decimal"/>
      <w:lvlText w:val="%7."/>
      <w:lvlJc w:val="left"/>
      <w:pPr>
        <w:ind w:left="4960" w:hanging="360"/>
      </w:pPr>
    </w:lvl>
    <w:lvl w:ilvl="7" w:tplc="080A0019" w:tentative="1">
      <w:start w:val="1"/>
      <w:numFmt w:val="lowerLetter"/>
      <w:lvlText w:val="%8."/>
      <w:lvlJc w:val="left"/>
      <w:pPr>
        <w:ind w:left="5680" w:hanging="360"/>
      </w:pPr>
    </w:lvl>
    <w:lvl w:ilvl="8" w:tplc="080A001B" w:tentative="1">
      <w:start w:val="1"/>
      <w:numFmt w:val="lowerRoman"/>
      <w:lvlText w:val="%9."/>
      <w:lvlJc w:val="right"/>
      <w:pPr>
        <w:ind w:left="6400" w:hanging="180"/>
      </w:pPr>
    </w:lvl>
  </w:abstractNum>
  <w:abstractNum w:abstractNumId="12" w15:restartNumberingAfterBreak="0">
    <w:nsid w:val="467B2567"/>
    <w:multiLevelType w:val="multilevel"/>
    <w:tmpl w:val="5784F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6D770EF"/>
    <w:multiLevelType w:val="multilevel"/>
    <w:tmpl w:val="9836E8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AC52CB4"/>
    <w:multiLevelType w:val="multilevel"/>
    <w:tmpl w:val="86029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C9D6B6D"/>
    <w:multiLevelType w:val="multilevel"/>
    <w:tmpl w:val="18BAFD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4E222634"/>
    <w:multiLevelType w:val="multilevel"/>
    <w:tmpl w:val="AE70A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02F5257"/>
    <w:multiLevelType w:val="hybridMultilevel"/>
    <w:tmpl w:val="24AAD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09F2B21"/>
    <w:multiLevelType w:val="multilevel"/>
    <w:tmpl w:val="AE80F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1667C6C"/>
    <w:multiLevelType w:val="multilevel"/>
    <w:tmpl w:val="FE6075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5B2868D0"/>
    <w:multiLevelType w:val="multilevel"/>
    <w:tmpl w:val="A830AE82"/>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5EC5750A"/>
    <w:multiLevelType w:val="multilevel"/>
    <w:tmpl w:val="A2145ADA"/>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6059007C"/>
    <w:multiLevelType w:val="multilevel"/>
    <w:tmpl w:val="6B529D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2BF7B6F"/>
    <w:multiLevelType w:val="hybridMultilevel"/>
    <w:tmpl w:val="3D067E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5C7D95"/>
    <w:multiLevelType w:val="multilevel"/>
    <w:tmpl w:val="0C92B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8007029"/>
    <w:multiLevelType w:val="multilevel"/>
    <w:tmpl w:val="4C548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9"/>
  </w:num>
  <w:num w:numId="3">
    <w:abstractNumId w:val="6"/>
  </w:num>
  <w:num w:numId="4">
    <w:abstractNumId w:val="0"/>
  </w:num>
  <w:num w:numId="5">
    <w:abstractNumId w:val="5"/>
  </w:num>
  <w:num w:numId="6">
    <w:abstractNumId w:val="7"/>
  </w:num>
  <w:num w:numId="7">
    <w:abstractNumId w:val="22"/>
  </w:num>
  <w:num w:numId="8">
    <w:abstractNumId w:val="15"/>
  </w:num>
  <w:num w:numId="9">
    <w:abstractNumId w:val="13"/>
  </w:num>
  <w:num w:numId="10">
    <w:abstractNumId w:val="1"/>
  </w:num>
  <w:num w:numId="11">
    <w:abstractNumId w:val="21"/>
  </w:num>
  <w:num w:numId="12">
    <w:abstractNumId w:val="24"/>
  </w:num>
  <w:num w:numId="13">
    <w:abstractNumId w:val="16"/>
  </w:num>
  <w:num w:numId="14">
    <w:abstractNumId w:val="25"/>
  </w:num>
  <w:num w:numId="15">
    <w:abstractNumId w:val="3"/>
  </w:num>
  <w:num w:numId="16">
    <w:abstractNumId w:val="8"/>
  </w:num>
  <w:num w:numId="17">
    <w:abstractNumId w:val="20"/>
  </w:num>
  <w:num w:numId="18">
    <w:abstractNumId w:val="4"/>
  </w:num>
  <w:num w:numId="19">
    <w:abstractNumId w:val="14"/>
  </w:num>
  <w:num w:numId="20">
    <w:abstractNumId w:val="12"/>
  </w:num>
  <w:num w:numId="21">
    <w:abstractNumId w:val="10"/>
  </w:num>
  <w:num w:numId="22">
    <w:abstractNumId w:val="18"/>
  </w:num>
  <w:num w:numId="23">
    <w:abstractNumId w:val="23"/>
  </w:num>
  <w:num w:numId="24">
    <w:abstractNumId w:val="17"/>
  </w:num>
  <w:num w:numId="25">
    <w:abstractNumId w:val="9"/>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B30"/>
    <w:rsid w:val="000005BF"/>
    <w:rsid w:val="00001186"/>
    <w:rsid w:val="0000748B"/>
    <w:rsid w:val="00017507"/>
    <w:rsid w:val="0002189E"/>
    <w:rsid w:val="00032C4B"/>
    <w:rsid w:val="00053AA8"/>
    <w:rsid w:val="00062EC3"/>
    <w:rsid w:val="00064716"/>
    <w:rsid w:val="00075319"/>
    <w:rsid w:val="00086EAD"/>
    <w:rsid w:val="000A0337"/>
    <w:rsid w:val="000A6E9D"/>
    <w:rsid w:val="000B06CD"/>
    <w:rsid w:val="000B26A5"/>
    <w:rsid w:val="000C0686"/>
    <w:rsid w:val="000C56F7"/>
    <w:rsid w:val="000C68FD"/>
    <w:rsid w:val="000F540F"/>
    <w:rsid w:val="00110E78"/>
    <w:rsid w:val="00111D59"/>
    <w:rsid w:val="0011221F"/>
    <w:rsid w:val="001161DE"/>
    <w:rsid w:val="00116C84"/>
    <w:rsid w:val="00120828"/>
    <w:rsid w:val="0012352C"/>
    <w:rsid w:val="001252A1"/>
    <w:rsid w:val="00126AD0"/>
    <w:rsid w:val="00131542"/>
    <w:rsid w:val="0014091A"/>
    <w:rsid w:val="00144D61"/>
    <w:rsid w:val="00147314"/>
    <w:rsid w:val="00150540"/>
    <w:rsid w:val="00155324"/>
    <w:rsid w:val="00166710"/>
    <w:rsid w:val="00167DDE"/>
    <w:rsid w:val="001816CB"/>
    <w:rsid w:val="00182DB9"/>
    <w:rsid w:val="001870D1"/>
    <w:rsid w:val="001B2270"/>
    <w:rsid w:val="001B473E"/>
    <w:rsid w:val="001C3B6A"/>
    <w:rsid w:val="001C3E7F"/>
    <w:rsid w:val="001D39B6"/>
    <w:rsid w:val="001D40F0"/>
    <w:rsid w:val="001E0AB7"/>
    <w:rsid w:val="001F0B45"/>
    <w:rsid w:val="00206BC2"/>
    <w:rsid w:val="0021299F"/>
    <w:rsid w:val="002207D1"/>
    <w:rsid w:val="0022127D"/>
    <w:rsid w:val="002213E8"/>
    <w:rsid w:val="002235AD"/>
    <w:rsid w:val="00226359"/>
    <w:rsid w:val="00235582"/>
    <w:rsid w:val="002416C9"/>
    <w:rsid w:val="0025045C"/>
    <w:rsid w:val="002526F8"/>
    <w:rsid w:val="00253DB0"/>
    <w:rsid w:val="00263D11"/>
    <w:rsid w:val="0027114E"/>
    <w:rsid w:val="002860B2"/>
    <w:rsid w:val="00292D3E"/>
    <w:rsid w:val="0029374B"/>
    <w:rsid w:val="00293925"/>
    <w:rsid w:val="002950DB"/>
    <w:rsid w:val="002A2D5A"/>
    <w:rsid w:val="002A3BD1"/>
    <w:rsid w:val="002B0865"/>
    <w:rsid w:val="002B0968"/>
    <w:rsid w:val="002C06A9"/>
    <w:rsid w:val="002C0BA2"/>
    <w:rsid w:val="002D5179"/>
    <w:rsid w:val="002D7DA2"/>
    <w:rsid w:val="002F1A9B"/>
    <w:rsid w:val="003005FD"/>
    <w:rsid w:val="00302967"/>
    <w:rsid w:val="00304585"/>
    <w:rsid w:val="00306779"/>
    <w:rsid w:val="00327FF7"/>
    <w:rsid w:val="00355FA0"/>
    <w:rsid w:val="00361344"/>
    <w:rsid w:val="00362B3D"/>
    <w:rsid w:val="00365157"/>
    <w:rsid w:val="0036612A"/>
    <w:rsid w:val="0037210A"/>
    <w:rsid w:val="00375F8A"/>
    <w:rsid w:val="00381AC2"/>
    <w:rsid w:val="003829EA"/>
    <w:rsid w:val="00384E38"/>
    <w:rsid w:val="00385BBB"/>
    <w:rsid w:val="00394B33"/>
    <w:rsid w:val="003A09B2"/>
    <w:rsid w:val="003A3D6A"/>
    <w:rsid w:val="003B377B"/>
    <w:rsid w:val="003C43E5"/>
    <w:rsid w:val="003D3303"/>
    <w:rsid w:val="003E1D19"/>
    <w:rsid w:val="003F46B4"/>
    <w:rsid w:val="003F58A4"/>
    <w:rsid w:val="004028EA"/>
    <w:rsid w:val="00402AD0"/>
    <w:rsid w:val="0040378B"/>
    <w:rsid w:val="00404DD0"/>
    <w:rsid w:val="00411BEC"/>
    <w:rsid w:val="00413706"/>
    <w:rsid w:val="00415C91"/>
    <w:rsid w:val="004219E9"/>
    <w:rsid w:val="00445B32"/>
    <w:rsid w:val="00456906"/>
    <w:rsid w:val="0046002B"/>
    <w:rsid w:val="0047693E"/>
    <w:rsid w:val="004804EC"/>
    <w:rsid w:val="004A37D3"/>
    <w:rsid w:val="004A62B2"/>
    <w:rsid w:val="004C635A"/>
    <w:rsid w:val="004C6B7A"/>
    <w:rsid w:val="004D1236"/>
    <w:rsid w:val="004D48B1"/>
    <w:rsid w:val="004E47D9"/>
    <w:rsid w:val="004E6DF8"/>
    <w:rsid w:val="004E6FFE"/>
    <w:rsid w:val="004F1FF4"/>
    <w:rsid w:val="00505E6F"/>
    <w:rsid w:val="00506340"/>
    <w:rsid w:val="0051688F"/>
    <w:rsid w:val="005168EB"/>
    <w:rsid w:val="005177D0"/>
    <w:rsid w:val="00522E45"/>
    <w:rsid w:val="00540706"/>
    <w:rsid w:val="0054350A"/>
    <w:rsid w:val="005615BF"/>
    <w:rsid w:val="00561B68"/>
    <w:rsid w:val="00561D9E"/>
    <w:rsid w:val="00572E75"/>
    <w:rsid w:val="00590DCF"/>
    <w:rsid w:val="00593A29"/>
    <w:rsid w:val="00596F04"/>
    <w:rsid w:val="005A24AE"/>
    <w:rsid w:val="005B6F47"/>
    <w:rsid w:val="005D46D5"/>
    <w:rsid w:val="005E0274"/>
    <w:rsid w:val="005E1A6B"/>
    <w:rsid w:val="005E6FEB"/>
    <w:rsid w:val="005F08EB"/>
    <w:rsid w:val="005F7015"/>
    <w:rsid w:val="00602130"/>
    <w:rsid w:val="00621EB9"/>
    <w:rsid w:val="0063198C"/>
    <w:rsid w:val="006319DF"/>
    <w:rsid w:val="00640466"/>
    <w:rsid w:val="00647321"/>
    <w:rsid w:val="006473AE"/>
    <w:rsid w:val="00654977"/>
    <w:rsid w:val="00663044"/>
    <w:rsid w:val="006727B1"/>
    <w:rsid w:val="00680850"/>
    <w:rsid w:val="006939EB"/>
    <w:rsid w:val="006A4A16"/>
    <w:rsid w:val="006A576D"/>
    <w:rsid w:val="006B068B"/>
    <w:rsid w:val="006B270C"/>
    <w:rsid w:val="006B377F"/>
    <w:rsid w:val="006B64C2"/>
    <w:rsid w:val="006C145B"/>
    <w:rsid w:val="006C22DD"/>
    <w:rsid w:val="006C7A4D"/>
    <w:rsid w:val="006D67BD"/>
    <w:rsid w:val="006E5434"/>
    <w:rsid w:val="006F5363"/>
    <w:rsid w:val="006F755F"/>
    <w:rsid w:val="007018EA"/>
    <w:rsid w:val="00701F36"/>
    <w:rsid w:val="00707FE3"/>
    <w:rsid w:val="007111D1"/>
    <w:rsid w:val="0071150A"/>
    <w:rsid w:val="00712BF6"/>
    <w:rsid w:val="0073046E"/>
    <w:rsid w:val="007476A7"/>
    <w:rsid w:val="00767AF9"/>
    <w:rsid w:val="00794764"/>
    <w:rsid w:val="007B0289"/>
    <w:rsid w:val="007B0318"/>
    <w:rsid w:val="007D49C1"/>
    <w:rsid w:val="007E0EE9"/>
    <w:rsid w:val="007F7055"/>
    <w:rsid w:val="007F732D"/>
    <w:rsid w:val="0080256C"/>
    <w:rsid w:val="008139DD"/>
    <w:rsid w:val="008179EA"/>
    <w:rsid w:val="00820161"/>
    <w:rsid w:val="008333B0"/>
    <w:rsid w:val="008623DB"/>
    <w:rsid w:val="00875B0A"/>
    <w:rsid w:val="00880F53"/>
    <w:rsid w:val="00893671"/>
    <w:rsid w:val="00893B87"/>
    <w:rsid w:val="00893E3A"/>
    <w:rsid w:val="00894E1E"/>
    <w:rsid w:val="0089608F"/>
    <w:rsid w:val="008A08A4"/>
    <w:rsid w:val="008B209A"/>
    <w:rsid w:val="008B3FF0"/>
    <w:rsid w:val="008C2127"/>
    <w:rsid w:val="008C5643"/>
    <w:rsid w:val="008E2BF9"/>
    <w:rsid w:val="008E475E"/>
    <w:rsid w:val="008F0AF8"/>
    <w:rsid w:val="008F591F"/>
    <w:rsid w:val="008F6E48"/>
    <w:rsid w:val="008F70E5"/>
    <w:rsid w:val="00904798"/>
    <w:rsid w:val="009049DB"/>
    <w:rsid w:val="0090682E"/>
    <w:rsid w:val="009100BC"/>
    <w:rsid w:val="009106AC"/>
    <w:rsid w:val="00915762"/>
    <w:rsid w:val="0093345B"/>
    <w:rsid w:val="00943C1E"/>
    <w:rsid w:val="00944A8C"/>
    <w:rsid w:val="009521B8"/>
    <w:rsid w:val="0095406E"/>
    <w:rsid w:val="00955CBC"/>
    <w:rsid w:val="0096750E"/>
    <w:rsid w:val="00976744"/>
    <w:rsid w:val="009A7573"/>
    <w:rsid w:val="009D5405"/>
    <w:rsid w:val="009E6923"/>
    <w:rsid w:val="00A11932"/>
    <w:rsid w:val="00A33F0E"/>
    <w:rsid w:val="00A375B9"/>
    <w:rsid w:val="00A47B00"/>
    <w:rsid w:val="00A51D5E"/>
    <w:rsid w:val="00A70593"/>
    <w:rsid w:val="00A7146B"/>
    <w:rsid w:val="00A75300"/>
    <w:rsid w:val="00AA15E9"/>
    <w:rsid w:val="00AA4DD3"/>
    <w:rsid w:val="00AC0960"/>
    <w:rsid w:val="00AC3CCE"/>
    <w:rsid w:val="00AD7545"/>
    <w:rsid w:val="00B20727"/>
    <w:rsid w:val="00B209BC"/>
    <w:rsid w:val="00B27E38"/>
    <w:rsid w:val="00B37D53"/>
    <w:rsid w:val="00B4124F"/>
    <w:rsid w:val="00B41271"/>
    <w:rsid w:val="00B41345"/>
    <w:rsid w:val="00B56515"/>
    <w:rsid w:val="00B67333"/>
    <w:rsid w:val="00B71836"/>
    <w:rsid w:val="00B7291A"/>
    <w:rsid w:val="00B91278"/>
    <w:rsid w:val="00B95A8C"/>
    <w:rsid w:val="00BA784D"/>
    <w:rsid w:val="00BD77A5"/>
    <w:rsid w:val="00BE501C"/>
    <w:rsid w:val="00BE70D4"/>
    <w:rsid w:val="00C00A9A"/>
    <w:rsid w:val="00C01EE3"/>
    <w:rsid w:val="00C17BD9"/>
    <w:rsid w:val="00C3115C"/>
    <w:rsid w:val="00C35042"/>
    <w:rsid w:val="00C42346"/>
    <w:rsid w:val="00C45C4A"/>
    <w:rsid w:val="00C50BEA"/>
    <w:rsid w:val="00C60880"/>
    <w:rsid w:val="00C64C05"/>
    <w:rsid w:val="00C73CDC"/>
    <w:rsid w:val="00C74C29"/>
    <w:rsid w:val="00C75FCE"/>
    <w:rsid w:val="00C82234"/>
    <w:rsid w:val="00C83C1D"/>
    <w:rsid w:val="00C93171"/>
    <w:rsid w:val="00CA2AC4"/>
    <w:rsid w:val="00CA4315"/>
    <w:rsid w:val="00CB261B"/>
    <w:rsid w:val="00CB59ED"/>
    <w:rsid w:val="00CB6E10"/>
    <w:rsid w:val="00CC1C22"/>
    <w:rsid w:val="00CD1DAC"/>
    <w:rsid w:val="00CF2156"/>
    <w:rsid w:val="00CF47CF"/>
    <w:rsid w:val="00D01115"/>
    <w:rsid w:val="00D120D2"/>
    <w:rsid w:val="00D131D5"/>
    <w:rsid w:val="00D2261F"/>
    <w:rsid w:val="00D33F77"/>
    <w:rsid w:val="00D3498B"/>
    <w:rsid w:val="00D3540D"/>
    <w:rsid w:val="00D43F43"/>
    <w:rsid w:val="00D44C86"/>
    <w:rsid w:val="00D458E1"/>
    <w:rsid w:val="00D52142"/>
    <w:rsid w:val="00D5755B"/>
    <w:rsid w:val="00D758E0"/>
    <w:rsid w:val="00D773A3"/>
    <w:rsid w:val="00DA60AF"/>
    <w:rsid w:val="00DC4286"/>
    <w:rsid w:val="00DD323E"/>
    <w:rsid w:val="00DE1F25"/>
    <w:rsid w:val="00DE7F63"/>
    <w:rsid w:val="00DF54A3"/>
    <w:rsid w:val="00E00DEC"/>
    <w:rsid w:val="00E04E97"/>
    <w:rsid w:val="00E238C1"/>
    <w:rsid w:val="00E35B30"/>
    <w:rsid w:val="00E440B1"/>
    <w:rsid w:val="00E551AD"/>
    <w:rsid w:val="00E7619B"/>
    <w:rsid w:val="00EB2D01"/>
    <w:rsid w:val="00EC0907"/>
    <w:rsid w:val="00EC37B3"/>
    <w:rsid w:val="00EC6476"/>
    <w:rsid w:val="00EC7AD1"/>
    <w:rsid w:val="00ED061F"/>
    <w:rsid w:val="00ED2D05"/>
    <w:rsid w:val="00EE1712"/>
    <w:rsid w:val="00EE3A9F"/>
    <w:rsid w:val="00EE466E"/>
    <w:rsid w:val="00EF1A3F"/>
    <w:rsid w:val="00F0229D"/>
    <w:rsid w:val="00F1385B"/>
    <w:rsid w:val="00F14CA3"/>
    <w:rsid w:val="00F23425"/>
    <w:rsid w:val="00F236B9"/>
    <w:rsid w:val="00F24D15"/>
    <w:rsid w:val="00F3187F"/>
    <w:rsid w:val="00F34AE6"/>
    <w:rsid w:val="00F36F6A"/>
    <w:rsid w:val="00F45454"/>
    <w:rsid w:val="00F51508"/>
    <w:rsid w:val="00F51B0A"/>
    <w:rsid w:val="00F56323"/>
    <w:rsid w:val="00F6264C"/>
    <w:rsid w:val="00F62A2F"/>
    <w:rsid w:val="00F665B2"/>
    <w:rsid w:val="00F679C8"/>
    <w:rsid w:val="00F71C44"/>
    <w:rsid w:val="00F81866"/>
    <w:rsid w:val="00F82145"/>
    <w:rsid w:val="00F87858"/>
    <w:rsid w:val="00FA3123"/>
    <w:rsid w:val="00FC0422"/>
    <w:rsid w:val="00FC2A4F"/>
    <w:rsid w:val="00FC3B03"/>
    <w:rsid w:val="00FC72AA"/>
    <w:rsid w:val="00FD4F8F"/>
    <w:rsid w:val="00FD69BE"/>
    <w:rsid w:val="00FE0061"/>
    <w:rsid w:val="00FF22E0"/>
    <w:rsid w:val="00FF2B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F8145"/>
  <w15:docId w15:val="{340F37FF-FC38-49EC-B8DF-2F2C6A6A9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MX" w:eastAsia="es-MX"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uiPriority w:val="9"/>
    <w:qFormat/>
    <w:rsid w:val="00670CC4"/>
    <w:pPr>
      <w:pBdr>
        <w:top w:val="nil"/>
        <w:left w:val="nil"/>
        <w:bottom w:val="nil"/>
        <w:right w:val="nil"/>
        <w:between w:val="nil"/>
      </w:pBdr>
      <w:spacing w:before="1" w:line="360" w:lineRule="auto"/>
      <w:jc w:val="center"/>
      <w:outlineLvl w:val="0"/>
    </w:pPr>
    <w:rPr>
      <w:rFonts w:ascii="Times New Roman" w:eastAsia="Arial" w:hAnsi="Times New Roman" w:cs="Times New Roman"/>
      <w:b/>
      <w:color w:val="FFFFFF" w:themeColor="background1"/>
      <w:sz w:val="24"/>
      <w:szCs w:val="24"/>
    </w:rPr>
  </w:style>
  <w:style w:type="paragraph" w:styleId="Ttulo2">
    <w:name w:val="heading 2"/>
    <w:basedOn w:val="Normal"/>
    <w:next w:val="Normal"/>
    <w:uiPriority w:val="9"/>
    <w:unhideWhenUsed/>
    <w:qFormat/>
    <w:rsid w:val="00670CC4"/>
    <w:pPr>
      <w:spacing w:before="1"/>
      <w:ind w:left="120"/>
      <w:jc w:val="both"/>
      <w:outlineLvl w:val="1"/>
    </w:pPr>
    <w:rPr>
      <w:rFonts w:ascii="Times New Roman" w:hAnsi="Times New Roman" w:cs="Times New Roman"/>
      <w:b/>
      <w:bCs/>
      <w:sz w:val="28"/>
      <w:szCs w:val="36"/>
    </w:rPr>
  </w:style>
  <w:style w:type="paragraph" w:styleId="Ttulo3">
    <w:name w:val="heading 3"/>
    <w:basedOn w:val="Normal"/>
    <w:next w:val="Normal"/>
    <w:uiPriority w:val="9"/>
    <w:unhideWhenUsed/>
    <w:qFormat/>
    <w:rsid w:val="00670CC4"/>
    <w:pPr>
      <w:widowControl/>
      <w:spacing w:line="360" w:lineRule="auto"/>
      <w:jc w:val="both"/>
      <w:outlineLvl w:val="2"/>
    </w:pPr>
    <w:rPr>
      <w:rFonts w:ascii="Times New Roman" w:eastAsia="Times New Roman" w:hAnsi="Times New Roman" w:cs="Times New Roman"/>
      <w:b/>
      <w:bCs/>
      <w:sz w:val="24"/>
      <w:szCs w:val="24"/>
    </w:rPr>
  </w:style>
  <w:style w:type="paragraph" w:styleId="Ttulo4">
    <w:name w:val="heading 4"/>
    <w:basedOn w:val="Normal"/>
    <w:uiPriority w:val="9"/>
    <w:unhideWhenUsed/>
    <w:qFormat/>
    <w:pPr>
      <w:ind w:left="100"/>
      <w:outlineLvl w:val="3"/>
    </w:pPr>
    <w:rPr>
      <w:rFonts w:ascii="Arial" w:eastAsia="Arial" w:hAnsi="Arial" w:cs="Arial"/>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00"/>
      <w:ind w:left="100"/>
    </w:pPr>
    <w:rPr>
      <w:sz w:val="24"/>
      <w:szCs w:val="24"/>
    </w:rPr>
  </w:style>
  <w:style w:type="paragraph" w:styleId="TDC2">
    <w:name w:val="toc 2"/>
    <w:basedOn w:val="Normal"/>
    <w:uiPriority w:val="39"/>
    <w:qFormat/>
    <w:pPr>
      <w:spacing w:before="100"/>
      <w:ind w:left="697" w:hanging="357"/>
    </w:pPr>
    <w:rPr>
      <w:sz w:val="24"/>
      <w:szCs w:val="24"/>
    </w:rPr>
  </w:style>
  <w:style w:type="paragraph" w:styleId="TDC3">
    <w:name w:val="toc 3"/>
    <w:basedOn w:val="Normal"/>
    <w:uiPriority w:val="39"/>
    <w:qFormat/>
    <w:pPr>
      <w:spacing w:before="100"/>
      <w:ind w:left="580"/>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1540" w:hanging="360"/>
      <w:jc w:val="both"/>
    </w:pPr>
  </w:style>
  <w:style w:type="paragraph" w:customStyle="1" w:styleId="TableParagraph">
    <w:name w:val="Table Paragraph"/>
    <w:basedOn w:val="Normal"/>
    <w:uiPriority w:val="1"/>
    <w:qFormat/>
    <w:pPr>
      <w:ind w:left="103"/>
    </w:pPr>
  </w:style>
  <w:style w:type="paragraph" w:styleId="Encabezado">
    <w:name w:val="header"/>
    <w:basedOn w:val="Normal"/>
    <w:link w:val="EncabezadoCar"/>
    <w:uiPriority w:val="99"/>
    <w:unhideWhenUsed/>
    <w:rsid w:val="007E3A99"/>
    <w:pPr>
      <w:tabs>
        <w:tab w:val="center" w:pos="4419"/>
        <w:tab w:val="right" w:pos="8838"/>
      </w:tabs>
    </w:pPr>
  </w:style>
  <w:style w:type="character" w:customStyle="1" w:styleId="EncabezadoCar">
    <w:name w:val="Encabezado Car"/>
    <w:basedOn w:val="Fuentedeprrafopredeter"/>
    <w:link w:val="Encabezado"/>
    <w:uiPriority w:val="99"/>
    <w:rsid w:val="007E3A99"/>
    <w:rPr>
      <w:rFonts w:ascii="Calibri" w:eastAsia="Calibri" w:hAnsi="Calibri" w:cs="Calibri"/>
    </w:rPr>
  </w:style>
  <w:style w:type="paragraph" w:styleId="Piedepgina">
    <w:name w:val="footer"/>
    <w:basedOn w:val="Normal"/>
    <w:link w:val="PiedepginaCar"/>
    <w:uiPriority w:val="99"/>
    <w:unhideWhenUsed/>
    <w:rsid w:val="007E3A99"/>
    <w:pPr>
      <w:tabs>
        <w:tab w:val="center" w:pos="4419"/>
        <w:tab w:val="right" w:pos="8838"/>
      </w:tabs>
    </w:pPr>
  </w:style>
  <w:style w:type="character" w:customStyle="1" w:styleId="PiedepginaCar">
    <w:name w:val="Pie de página Car"/>
    <w:basedOn w:val="Fuentedeprrafopredeter"/>
    <w:link w:val="Piedepgina"/>
    <w:uiPriority w:val="99"/>
    <w:rsid w:val="007E3A99"/>
    <w:rPr>
      <w:rFonts w:ascii="Calibri" w:eastAsia="Calibri" w:hAnsi="Calibri" w:cs="Calibri"/>
    </w:rPr>
  </w:style>
  <w:style w:type="paragraph" w:styleId="TtuloTDC">
    <w:name w:val="TOC Heading"/>
    <w:basedOn w:val="Ttulo1"/>
    <w:next w:val="Normal"/>
    <w:uiPriority w:val="39"/>
    <w:unhideWhenUsed/>
    <w:qFormat/>
    <w:rsid w:val="00CC75F9"/>
    <w:pPr>
      <w:keepNext/>
      <w:keepLines/>
      <w:widowControl/>
      <w:spacing w:before="240" w:line="259" w:lineRule="auto"/>
      <w:jc w:val="left"/>
      <w:outlineLvl w:val="9"/>
    </w:pPr>
    <w:rPr>
      <w:rFonts w:asciiTheme="majorHAnsi" w:eastAsiaTheme="majorEastAsia" w:hAnsiTheme="majorHAnsi" w:cstheme="majorBidi"/>
      <w:b w:val="0"/>
      <w:bCs/>
      <w:color w:val="365F91" w:themeColor="accent1" w:themeShade="BF"/>
      <w:sz w:val="32"/>
      <w:szCs w:val="32"/>
    </w:rPr>
  </w:style>
  <w:style w:type="character" w:styleId="Hipervnculo">
    <w:name w:val="Hyperlink"/>
    <w:basedOn w:val="Fuentedeprrafopredeter"/>
    <w:uiPriority w:val="99"/>
    <w:unhideWhenUsed/>
    <w:rsid w:val="00CC75F9"/>
    <w:rPr>
      <w:color w:val="0000FF" w:themeColor="hyperlink"/>
      <w:u w:val="single"/>
    </w:rPr>
  </w:style>
  <w:style w:type="paragraph" w:styleId="TDC4">
    <w:name w:val="toc 4"/>
    <w:basedOn w:val="Normal"/>
    <w:next w:val="Normal"/>
    <w:autoRedefine/>
    <w:uiPriority w:val="39"/>
    <w:unhideWhenUsed/>
    <w:rsid w:val="00CC75F9"/>
    <w:pPr>
      <w:spacing w:after="100"/>
      <w:ind w:left="660"/>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8">
    <w:name w:val="58"/>
    <w:basedOn w:val="TableNormal1"/>
    <w:tblPr>
      <w:tblStyleRowBandSize w:val="1"/>
      <w:tblStyleColBandSize w:val="1"/>
      <w:tblCellMar>
        <w:top w:w="100" w:type="dxa"/>
        <w:left w:w="100" w:type="dxa"/>
        <w:bottom w:w="100" w:type="dxa"/>
        <w:right w:w="100" w:type="dxa"/>
      </w:tblCellMar>
    </w:tblPr>
  </w:style>
  <w:style w:type="table" w:customStyle="1" w:styleId="57">
    <w:name w:val="57"/>
    <w:basedOn w:val="TableNormal1"/>
    <w:tblPr>
      <w:tblStyleRowBandSize w:val="1"/>
      <w:tblStyleColBandSize w:val="1"/>
      <w:tblCellMar>
        <w:left w:w="70" w:type="dxa"/>
        <w:right w:w="70" w:type="dxa"/>
      </w:tblCellMar>
    </w:tblPr>
  </w:style>
  <w:style w:type="table" w:customStyle="1" w:styleId="56">
    <w:name w:val="56"/>
    <w:basedOn w:val="TableNormal1"/>
    <w:tblPr>
      <w:tblStyleRowBandSize w:val="1"/>
      <w:tblStyleColBandSize w:val="1"/>
      <w:tblCellMar>
        <w:left w:w="70" w:type="dxa"/>
        <w:right w:w="70" w:type="dxa"/>
      </w:tblCellMar>
    </w:tblPr>
  </w:style>
  <w:style w:type="table" w:customStyle="1" w:styleId="55">
    <w:name w:val="55"/>
    <w:basedOn w:val="TableNormal1"/>
    <w:tblPr>
      <w:tblStyleRowBandSize w:val="1"/>
      <w:tblStyleColBandSize w:val="1"/>
      <w:tblCellMar>
        <w:left w:w="70" w:type="dxa"/>
        <w:right w:w="70" w:type="dxa"/>
      </w:tblCellMar>
    </w:tblPr>
  </w:style>
  <w:style w:type="table" w:customStyle="1" w:styleId="54">
    <w:name w:val="54"/>
    <w:basedOn w:val="TableNormal1"/>
    <w:tblPr>
      <w:tblStyleRowBandSize w:val="1"/>
      <w:tblStyleColBandSize w:val="1"/>
      <w:tblCellMar>
        <w:top w:w="100" w:type="dxa"/>
        <w:left w:w="100" w:type="dxa"/>
        <w:bottom w:w="100" w:type="dxa"/>
        <w:right w:w="100" w:type="dxa"/>
      </w:tblCellMar>
    </w:tblPr>
  </w:style>
  <w:style w:type="table" w:customStyle="1" w:styleId="53">
    <w:name w:val="53"/>
    <w:basedOn w:val="TableNormal1"/>
    <w:tblPr>
      <w:tblStyleRowBandSize w:val="1"/>
      <w:tblStyleColBandSize w:val="1"/>
      <w:tblCellMar>
        <w:top w:w="100" w:type="dxa"/>
        <w:left w:w="100" w:type="dxa"/>
        <w:bottom w:w="100" w:type="dxa"/>
        <w:right w:w="100" w:type="dxa"/>
      </w:tblCellMar>
    </w:tblPr>
  </w:style>
  <w:style w:type="table" w:customStyle="1" w:styleId="52">
    <w:name w:val="52"/>
    <w:basedOn w:val="TableNormal1"/>
    <w:tblPr>
      <w:tblStyleRowBandSize w:val="1"/>
      <w:tblStyleColBandSize w:val="1"/>
      <w:tblCellMar>
        <w:top w:w="100" w:type="dxa"/>
        <w:left w:w="100" w:type="dxa"/>
        <w:bottom w:w="100" w:type="dxa"/>
        <w:right w:w="100" w:type="dxa"/>
      </w:tblCellMar>
    </w:tblPr>
  </w:style>
  <w:style w:type="table" w:customStyle="1" w:styleId="51">
    <w:name w:val="51"/>
    <w:basedOn w:val="TableNormal1"/>
    <w:tblPr>
      <w:tblStyleRowBandSize w:val="1"/>
      <w:tblStyleColBandSize w:val="1"/>
      <w:tblCellMar>
        <w:top w:w="100" w:type="dxa"/>
        <w:left w:w="100" w:type="dxa"/>
        <w:bottom w:w="100" w:type="dxa"/>
        <w:right w:w="100" w:type="dxa"/>
      </w:tblCellMar>
    </w:tblPr>
  </w:style>
  <w:style w:type="table" w:customStyle="1" w:styleId="50">
    <w:name w:val="50"/>
    <w:basedOn w:val="TableNormal1"/>
    <w:tblPr>
      <w:tblStyleRowBandSize w:val="1"/>
      <w:tblStyleColBandSize w:val="1"/>
      <w:tblCellMar>
        <w:top w:w="100" w:type="dxa"/>
        <w:left w:w="100" w:type="dxa"/>
        <w:bottom w:w="100" w:type="dxa"/>
        <w:right w:w="100" w:type="dxa"/>
      </w:tblCellMar>
    </w:tblPr>
  </w:style>
  <w:style w:type="table" w:customStyle="1" w:styleId="49">
    <w:name w:val="49"/>
    <w:basedOn w:val="TableNormal1"/>
    <w:tblPr>
      <w:tblStyleRowBandSize w:val="1"/>
      <w:tblStyleColBandSize w:val="1"/>
      <w:tblCellMar>
        <w:top w:w="100" w:type="dxa"/>
        <w:left w:w="100" w:type="dxa"/>
        <w:bottom w:w="100" w:type="dxa"/>
        <w:right w:w="100" w:type="dxa"/>
      </w:tblCellMar>
    </w:tblPr>
  </w:style>
  <w:style w:type="paragraph" w:styleId="Sinespaciado">
    <w:name w:val="No Spacing"/>
    <w:link w:val="SinespaciadoCar"/>
    <w:uiPriority w:val="1"/>
    <w:qFormat/>
    <w:rsid w:val="009B3E0F"/>
    <w:pPr>
      <w:widowControl/>
    </w:pPr>
    <w:rPr>
      <w:rFonts w:asciiTheme="minorHAnsi" w:eastAsiaTheme="minorEastAsia" w:hAnsiTheme="minorHAnsi" w:cstheme="minorBidi"/>
      <w:lang w:val="en-US" w:eastAsia="zh-CN"/>
    </w:rPr>
  </w:style>
  <w:style w:type="character" w:customStyle="1" w:styleId="SinespaciadoCar">
    <w:name w:val="Sin espaciado Car"/>
    <w:basedOn w:val="Fuentedeprrafopredeter"/>
    <w:link w:val="Sinespaciado"/>
    <w:uiPriority w:val="1"/>
    <w:rsid w:val="009B3E0F"/>
    <w:rPr>
      <w:rFonts w:asciiTheme="minorHAnsi" w:eastAsiaTheme="minorEastAsia" w:hAnsiTheme="minorHAnsi" w:cstheme="minorBidi"/>
      <w:lang w:val="en-US" w:eastAsia="zh-CN"/>
    </w:rPr>
  </w:style>
  <w:style w:type="character" w:styleId="Nmerodepgina">
    <w:name w:val="page number"/>
    <w:basedOn w:val="Fuentedeprrafopredeter"/>
    <w:uiPriority w:val="99"/>
    <w:semiHidden/>
    <w:unhideWhenUsed/>
    <w:rsid w:val="009B3E0F"/>
  </w:style>
  <w:style w:type="character" w:styleId="Refdecomentario">
    <w:name w:val="annotation reference"/>
    <w:basedOn w:val="Fuentedeprrafopredeter"/>
    <w:uiPriority w:val="99"/>
    <w:semiHidden/>
    <w:unhideWhenUsed/>
    <w:rsid w:val="002723A7"/>
    <w:rPr>
      <w:sz w:val="16"/>
      <w:szCs w:val="16"/>
    </w:rPr>
  </w:style>
  <w:style w:type="paragraph" w:styleId="Textocomentario">
    <w:name w:val="annotation text"/>
    <w:basedOn w:val="Normal"/>
    <w:link w:val="TextocomentarioCar"/>
    <w:uiPriority w:val="99"/>
    <w:unhideWhenUsed/>
    <w:rsid w:val="002723A7"/>
    <w:rPr>
      <w:sz w:val="20"/>
      <w:szCs w:val="20"/>
    </w:rPr>
  </w:style>
  <w:style w:type="character" w:customStyle="1" w:styleId="TextocomentarioCar">
    <w:name w:val="Texto comentario Car"/>
    <w:basedOn w:val="Fuentedeprrafopredeter"/>
    <w:link w:val="Textocomentario"/>
    <w:uiPriority w:val="99"/>
    <w:rsid w:val="002723A7"/>
    <w:rPr>
      <w:sz w:val="20"/>
      <w:szCs w:val="20"/>
    </w:rPr>
  </w:style>
  <w:style w:type="paragraph" w:styleId="Asuntodelcomentario">
    <w:name w:val="annotation subject"/>
    <w:basedOn w:val="Textocomentario"/>
    <w:next w:val="Textocomentario"/>
    <w:link w:val="AsuntodelcomentarioCar"/>
    <w:uiPriority w:val="99"/>
    <w:semiHidden/>
    <w:unhideWhenUsed/>
    <w:rsid w:val="002723A7"/>
    <w:rPr>
      <w:b/>
      <w:bCs/>
    </w:rPr>
  </w:style>
  <w:style w:type="character" w:customStyle="1" w:styleId="AsuntodelcomentarioCar">
    <w:name w:val="Asunto del comentario Car"/>
    <w:basedOn w:val="TextocomentarioCar"/>
    <w:link w:val="Asuntodelcomentario"/>
    <w:uiPriority w:val="99"/>
    <w:semiHidden/>
    <w:rsid w:val="002723A7"/>
    <w:rPr>
      <w:b/>
      <w:bCs/>
      <w:sz w:val="20"/>
      <w:szCs w:val="20"/>
    </w:rPr>
  </w:style>
  <w:style w:type="paragraph" w:styleId="Textodeglobo">
    <w:name w:val="Balloon Text"/>
    <w:basedOn w:val="Normal"/>
    <w:link w:val="TextodegloboCar"/>
    <w:uiPriority w:val="99"/>
    <w:semiHidden/>
    <w:unhideWhenUsed/>
    <w:rsid w:val="002723A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23A7"/>
    <w:rPr>
      <w:rFonts w:ascii="Segoe UI" w:hAnsi="Segoe UI" w:cs="Segoe UI"/>
      <w:sz w:val="18"/>
      <w:szCs w:val="18"/>
    </w:rPr>
  </w:style>
  <w:style w:type="character" w:customStyle="1" w:styleId="fontstyle01">
    <w:name w:val="fontstyle01"/>
    <w:basedOn w:val="Fuentedeprrafopredeter"/>
    <w:rsid w:val="00A264CC"/>
    <w:rPr>
      <w:rFonts w:ascii="CIDFont+F1" w:hAnsi="CIDFont+F1" w:hint="default"/>
      <w:b/>
      <w:bCs/>
      <w:i w:val="0"/>
      <w:iCs w:val="0"/>
      <w:color w:val="000000"/>
      <w:sz w:val="18"/>
      <w:szCs w:val="18"/>
    </w:rPr>
  </w:style>
  <w:style w:type="character" w:customStyle="1" w:styleId="fontstyle21">
    <w:name w:val="fontstyle21"/>
    <w:basedOn w:val="Fuentedeprrafopredeter"/>
    <w:rsid w:val="00A264CC"/>
    <w:rPr>
      <w:rFonts w:ascii="CIDFont+F3" w:hAnsi="CIDFont+F3" w:hint="default"/>
      <w:b w:val="0"/>
      <w:bCs w:val="0"/>
      <w:i w:val="0"/>
      <w:iCs w:val="0"/>
      <w:color w:val="000000"/>
      <w:sz w:val="18"/>
      <w:szCs w:val="18"/>
    </w:rPr>
  </w:style>
  <w:style w:type="paragraph" w:styleId="Revisin">
    <w:name w:val="Revision"/>
    <w:hidden/>
    <w:uiPriority w:val="99"/>
    <w:semiHidden/>
    <w:rsid w:val="009147E1"/>
    <w:pPr>
      <w:widowControl/>
    </w:pPr>
  </w:style>
  <w:style w:type="paragraph" w:customStyle="1" w:styleId="Default">
    <w:name w:val="Default"/>
    <w:rsid w:val="00E1276F"/>
    <w:pPr>
      <w:widowControl/>
      <w:autoSpaceDE w:val="0"/>
      <w:autoSpaceDN w:val="0"/>
      <w:adjustRightInd w:val="0"/>
    </w:pPr>
    <w:rPr>
      <w:rFonts w:ascii="Times New Roman" w:eastAsiaTheme="minorHAnsi" w:hAnsi="Times New Roman" w:cs="Times New Roman"/>
      <w:color w:val="000000"/>
      <w:sz w:val="24"/>
      <w:szCs w:val="24"/>
    </w:rPr>
  </w:style>
  <w:style w:type="table" w:customStyle="1" w:styleId="48">
    <w:name w:val="48"/>
    <w:basedOn w:val="TableNormal2"/>
    <w:tblPr>
      <w:tblStyleRowBandSize w:val="1"/>
      <w:tblStyleColBandSize w:val="1"/>
      <w:tblCellMar>
        <w:top w:w="100" w:type="dxa"/>
        <w:left w:w="100" w:type="dxa"/>
        <w:bottom w:w="100" w:type="dxa"/>
        <w:right w:w="100" w:type="dxa"/>
      </w:tblCellMar>
    </w:tblPr>
  </w:style>
  <w:style w:type="table" w:customStyle="1" w:styleId="47">
    <w:name w:val="47"/>
    <w:basedOn w:val="TableNormal2"/>
    <w:tblPr>
      <w:tblStyleRowBandSize w:val="1"/>
      <w:tblStyleColBandSize w:val="1"/>
      <w:tblCellMar>
        <w:top w:w="100" w:type="dxa"/>
        <w:left w:w="100" w:type="dxa"/>
        <w:bottom w:w="100" w:type="dxa"/>
        <w:right w:w="100" w:type="dxa"/>
      </w:tblCellMar>
    </w:tblPr>
  </w:style>
  <w:style w:type="table" w:customStyle="1" w:styleId="46">
    <w:name w:val="46"/>
    <w:basedOn w:val="TableNormal2"/>
    <w:tblPr>
      <w:tblStyleRowBandSize w:val="1"/>
      <w:tblStyleColBandSize w:val="1"/>
      <w:tblCellMar>
        <w:top w:w="100" w:type="dxa"/>
        <w:left w:w="100" w:type="dxa"/>
        <w:bottom w:w="100" w:type="dxa"/>
        <w:right w:w="100" w:type="dxa"/>
      </w:tblCellMar>
    </w:tblPr>
  </w:style>
  <w:style w:type="table" w:customStyle="1" w:styleId="45">
    <w:name w:val="45"/>
    <w:basedOn w:val="TableNormal2"/>
    <w:tblPr>
      <w:tblStyleRowBandSize w:val="1"/>
      <w:tblStyleColBandSize w:val="1"/>
      <w:tblCellMar>
        <w:top w:w="100" w:type="dxa"/>
        <w:left w:w="100" w:type="dxa"/>
        <w:bottom w:w="100" w:type="dxa"/>
        <w:right w:w="100" w:type="dxa"/>
      </w:tblCellMar>
    </w:tblPr>
  </w:style>
  <w:style w:type="table" w:customStyle="1" w:styleId="44">
    <w:name w:val="44"/>
    <w:basedOn w:val="TableNormal2"/>
    <w:tblPr>
      <w:tblStyleRowBandSize w:val="1"/>
      <w:tblStyleColBandSize w:val="1"/>
      <w:tblCellMar>
        <w:top w:w="100" w:type="dxa"/>
        <w:left w:w="100" w:type="dxa"/>
        <w:bottom w:w="100" w:type="dxa"/>
        <w:right w:w="100" w:type="dxa"/>
      </w:tblCellMar>
    </w:tblPr>
  </w:style>
  <w:style w:type="table" w:customStyle="1" w:styleId="43">
    <w:name w:val="43"/>
    <w:basedOn w:val="TableNormal2"/>
    <w:tblPr>
      <w:tblStyleRowBandSize w:val="1"/>
      <w:tblStyleColBandSize w:val="1"/>
      <w:tblCellMar>
        <w:left w:w="115" w:type="dxa"/>
        <w:right w:w="115" w:type="dxa"/>
      </w:tblCellMar>
    </w:tblPr>
  </w:style>
  <w:style w:type="table" w:customStyle="1" w:styleId="42">
    <w:name w:val="42"/>
    <w:basedOn w:val="TableNormal2"/>
    <w:tblPr>
      <w:tblStyleRowBandSize w:val="1"/>
      <w:tblStyleColBandSize w:val="1"/>
      <w:tblCellMar>
        <w:left w:w="115" w:type="dxa"/>
        <w:right w:w="115" w:type="dxa"/>
      </w:tblCellMar>
    </w:tblPr>
  </w:style>
  <w:style w:type="table" w:customStyle="1" w:styleId="41">
    <w:name w:val="41"/>
    <w:basedOn w:val="TableNormal2"/>
    <w:tblPr>
      <w:tblStyleRowBandSize w:val="1"/>
      <w:tblStyleColBandSize w:val="1"/>
      <w:tblCellMar>
        <w:left w:w="115" w:type="dxa"/>
        <w:right w:w="115" w:type="dxa"/>
      </w:tblCellMar>
    </w:tblPr>
  </w:style>
  <w:style w:type="table" w:customStyle="1" w:styleId="40">
    <w:name w:val="40"/>
    <w:basedOn w:val="TableNormal2"/>
    <w:tblPr>
      <w:tblStyleRowBandSize w:val="1"/>
      <w:tblStyleColBandSize w:val="1"/>
      <w:tblCellMar>
        <w:left w:w="115" w:type="dxa"/>
        <w:right w:w="115" w:type="dxa"/>
      </w:tblCellMar>
    </w:tblPr>
  </w:style>
  <w:style w:type="table" w:customStyle="1" w:styleId="39">
    <w:name w:val="39"/>
    <w:basedOn w:val="TableNormal2"/>
    <w:tblPr>
      <w:tblStyleRowBandSize w:val="1"/>
      <w:tblStyleColBandSize w:val="1"/>
      <w:tblCellMar>
        <w:left w:w="115" w:type="dxa"/>
        <w:right w:w="115" w:type="dxa"/>
      </w:tblCellMar>
    </w:tblPr>
  </w:style>
  <w:style w:type="table" w:customStyle="1" w:styleId="38">
    <w:name w:val="38"/>
    <w:basedOn w:val="TableNormal2"/>
    <w:tblPr>
      <w:tblStyleRowBandSize w:val="1"/>
      <w:tblStyleColBandSize w:val="1"/>
      <w:tblCellMar>
        <w:left w:w="115" w:type="dxa"/>
        <w:right w:w="115" w:type="dxa"/>
      </w:tblCellMar>
    </w:tblPr>
  </w:style>
  <w:style w:type="table" w:customStyle="1" w:styleId="37">
    <w:name w:val="37"/>
    <w:basedOn w:val="TableNormal2"/>
    <w:tblPr>
      <w:tblStyleRowBandSize w:val="1"/>
      <w:tblStyleColBandSize w:val="1"/>
      <w:tblCellMar>
        <w:left w:w="115" w:type="dxa"/>
        <w:right w:w="115" w:type="dxa"/>
      </w:tblCellMar>
    </w:tblPr>
  </w:style>
  <w:style w:type="table" w:customStyle="1" w:styleId="36">
    <w:name w:val="36"/>
    <w:basedOn w:val="TableNormal2"/>
    <w:tblPr>
      <w:tblStyleRowBandSize w:val="1"/>
      <w:tblStyleColBandSize w:val="1"/>
      <w:tblCellMar>
        <w:left w:w="115" w:type="dxa"/>
        <w:right w:w="115" w:type="dxa"/>
      </w:tblCellMar>
    </w:tblPr>
  </w:style>
  <w:style w:type="table" w:customStyle="1" w:styleId="35">
    <w:name w:val="35"/>
    <w:basedOn w:val="TableNormal2"/>
    <w:tblPr>
      <w:tblStyleRowBandSize w:val="1"/>
      <w:tblStyleColBandSize w:val="1"/>
      <w:tblCellMar>
        <w:left w:w="115" w:type="dxa"/>
        <w:right w:w="115" w:type="dxa"/>
      </w:tblCellMar>
    </w:tblPr>
  </w:style>
  <w:style w:type="table" w:customStyle="1" w:styleId="34">
    <w:name w:val="34"/>
    <w:basedOn w:val="TableNormal2"/>
    <w:tblPr>
      <w:tblStyleRowBandSize w:val="1"/>
      <w:tblStyleColBandSize w:val="1"/>
      <w:tblCellMar>
        <w:left w:w="115" w:type="dxa"/>
        <w:right w:w="115" w:type="dxa"/>
      </w:tblCellMar>
    </w:tblPr>
  </w:style>
  <w:style w:type="table" w:customStyle="1" w:styleId="33">
    <w:name w:val="33"/>
    <w:basedOn w:val="TableNormal2"/>
    <w:tblPr>
      <w:tblStyleRowBandSize w:val="1"/>
      <w:tblStyleColBandSize w:val="1"/>
      <w:tblCellMar>
        <w:left w:w="115" w:type="dxa"/>
        <w:right w:w="115" w:type="dxa"/>
      </w:tblCellMar>
    </w:tblPr>
  </w:style>
  <w:style w:type="character" w:styleId="Mencinsinresolver">
    <w:name w:val="Unresolved Mention"/>
    <w:basedOn w:val="Fuentedeprrafopredeter"/>
    <w:uiPriority w:val="99"/>
    <w:semiHidden/>
    <w:unhideWhenUsed/>
    <w:rsid w:val="00656495"/>
    <w:rPr>
      <w:color w:val="605E5C"/>
      <w:shd w:val="clear" w:color="auto" w:fill="E1DFDD"/>
    </w:rPr>
  </w:style>
  <w:style w:type="paragraph" w:styleId="Textonotapie">
    <w:name w:val="footnote text"/>
    <w:basedOn w:val="Normal"/>
    <w:link w:val="TextonotapieCar"/>
    <w:uiPriority w:val="99"/>
    <w:semiHidden/>
    <w:unhideWhenUsed/>
    <w:rsid w:val="00585311"/>
    <w:rPr>
      <w:sz w:val="20"/>
      <w:szCs w:val="20"/>
    </w:rPr>
  </w:style>
  <w:style w:type="character" w:customStyle="1" w:styleId="TextonotapieCar">
    <w:name w:val="Texto nota pie Car"/>
    <w:basedOn w:val="Fuentedeprrafopredeter"/>
    <w:link w:val="Textonotapie"/>
    <w:uiPriority w:val="99"/>
    <w:semiHidden/>
    <w:rsid w:val="00585311"/>
    <w:rPr>
      <w:sz w:val="20"/>
      <w:szCs w:val="20"/>
    </w:rPr>
  </w:style>
  <w:style w:type="character" w:styleId="Refdenotaalpie">
    <w:name w:val="footnote reference"/>
    <w:basedOn w:val="Fuentedeprrafopredeter"/>
    <w:uiPriority w:val="99"/>
    <w:semiHidden/>
    <w:unhideWhenUsed/>
    <w:rsid w:val="00585311"/>
    <w:rPr>
      <w:vertAlign w:val="superscript"/>
    </w:rPr>
  </w:style>
  <w:style w:type="table" w:customStyle="1" w:styleId="32">
    <w:name w:val="32"/>
    <w:basedOn w:val="TableNormal2"/>
    <w:tblPr>
      <w:tblStyleRowBandSize w:val="1"/>
      <w:tblStyleColBandSize w:val="1"/>
      <w:tblCellMar>
        <w:top w:w="100" w:type="dxa"/>
        <w:left w:w="115" w:type="dxa"/>
        <w:bottom w:w="100" w:type="dxa"/>
        <w:right w:w="115" w:type="dxa"/>
      </w:tblCellMar>
    </w:tblPr>
  </w:style>
  <w:style w:type="table" w:customStyle="1" w:styleId="31">
    <w:name w:val="31"/>
    <w:basedOn w:val="TableNormal2"/>
    <w:tblPr>
      <w:tblStyleRowBandSize w:val="1"/>
      <w:tblStyleColBandSize w:val="1"/>
      <w:tblCellMar>
        <w:top w:w="100" w:type="dxa"/>
        <w:left w:w="100" w:type="dxa"/>
        <w:bottom w:w="100" w:type="dxa"/>
        <w:right w:w="100" w:type="dxa"/>
      </w:tblCellMar>
    </w:tblPr>
  </w:style>
  <w:style w:type="table" w:customStyle="1" w:styleId="30">
    <w:name w:val="30"/>
    <w:basedOn w:val="TableNormal2"/>
    <w:tblPr>
      <w:tblStyleRowBandSize w:val="1"/>
      <w:tblStyleColBandSize w:val="1"/>
      <w:tblCellMar>
        <w:top w:w="100" w:type="dxa"/>
        <w:left w:w="100" w:type="dxa"/>
        <w:bottom w:w="100" w:type="dxa"/>
        <w:right w:w="100" w:type="dxa"/>
      </w:tblCellMar>
    </w:tblPr>
  </w:style>
  <w:style w:type="table" w:customStyle="1" w:styleId="29">
    <w:name w:val="29"/>
    <w:basedOn w:val="TableNormal2"/>
    <w:tblPr>
      <w:tblStyleRowBandSize w:val="1"/>
      <w:tblStyleColBandSize w:val="1"/>
      <w:tblCellMar>
        <w:top w:w="100" w:type="dxa"/>
        <w:left w:w="115" w:type="dxa"/>
        <w:bottom w:w="100" w:type="dxa"/>
        <w:right w:w="115" w:type="dxa"/>
      </w:tblCellMar>
    </w:tblPr>
  </w:style>
  <w:style w:type="table" w:customStyle="1" w:styleId="28">
    <w:name w:val="28"/>
    <w:basedOn w:val="TableNormal2"/>
    <w:tblPr>
      <w:tblStyleRowBandSize w:val="1"/>
      <w:tblStyleColBandSize w:val="1"/>
      <w:tblCellMar>
        <w:top w:w="100" w:type="dxa"/>
        <w:left w:w="115" w:type="dxa"/>
        <w:bottom w:w="100" w:type="dxa"/>
        <w:right w:w="115" w:type="dxa"/>
      </w:tblCellMar>
    </w:tblPr>
  </w:style>
  <w:style w:type="table" w:customStyle="1" w:styleId="27">
    <w:name w:val="27"/>
    <w:basedOn w:val="TableNormal2"/>
    <w:tblPr>
      <w:tblStyleRowBandSize w:val="1"/>
      <w:tblStyleColBandSize w:val="1"/>
      <w:tblCellMar>
        <w:top w:w="100" w:type="dxa"/>
        <w:left w:w="115" w:type="dxa"/>
        <w:bottom w:w="100" w:type="dxa"/>
        <w:right w:w="115" w:type="dxa"/>
      </w:tblCellMar>
    </w:tblPr>
  </w:style>
  <w:style w:type="table" w:customStyle="1" w:styleId="26">
    <w:name w:val="26"/>
    <w:basedOn w:val="TableNormal2"/>
    <w:tblPr>
      <w:tblStyleRowBandSize w:val="1"/>
      <w:tblStyleColBandSize w:val="1"/>
      <w:tblCellMar>
        <w:top w:w="100" w:type="dxa"/>
        <w:left w:w="115" w:type="dxa"/>
        <w:bottom w:w="100" w:type="dxa"/>
        <w:right w:w="115" w:type="dxa"/>
      </w:tblCellMar>
    </w:tblPr>
  </w:style>
  <w:style w:type="table" w:customStyle="1" w:styleId="25">
    <w:name w:val="25"/>
    <w:basedOn w:val="TableNormal2"/>
    <w:tblPr>
      <w:tblStyleRowBandSize w:val="1"/>
      <w:tblStyleColBandSize w:val="1"/>
      <w:tblCellMar>
        <w:top w:w="100" w:type="dxa"/>
        <w:left w:w="115" w:type="dxa"/>
        <w:bottom w:w="100" w:type="dxa"/>
        <w:right w:w="115" w:type="dxa"/>
      </w:tblCellMar>
    </w:tblPr>
  </w:style>
  <w:style w:type="table" w:customStyle="1" w:styleId="24">
    <w:name w:val="24"/>
    <w:basedOn w:val="TableNormal2"/>
    <w:tblPr>
      <w:tblStyleRowBandSize w:val="1"/>
      <w:tblStyleColBandSize w:val="1"/>
      <w:tblCellMar>
        <w:top w:w="100" w:type="dxa"/>
        <w:left w:w="115" w:type="dxa"/>
        <w:bottom w:w="100" w:type="dxa"/>
        <w:right w:w="115" w:type="dxa"/>
      </w:tblCellMar>
    </w:tblPr>
  </w:style>
  <w:style w:type="table" w:customStyle="1" w:styleId="23">
    <w:name w:val="23"/>
    <w:basedOn w:val="TableNormal2"/>
    <w:tblPr>
      <w:tblStyleRowBandSize w:val="1"/>
      <w:tblStyleColBandSize w:val="1"/>
      <w:tblCellMar>
        <w:top w:w="100" w:type="dxa"/>
        <w:left w:w="115" w:type="dxa"/>
        <w:bottom w:w="100" w:type="dxa"/>
        <w:right w:w="115" w:type="dxa"/>
      </w:tblCellMar>
    </w:tblPr>
  </w:style>
  <w:style w:type="table" w:customStyle="1" w:styleId="22">
    <w:name w:val="22"/>
    <w:basedOn w:val="TableNormal2"/>
    <w:tblPr>
      <w:tblStyleRowBandSize w:val="1"/>
      <w:tblStyleColBandSize w:val="1"/>
      <w:tblCellMar>
        <w:top w:w="100" w:type="dxa"/>
        <w:left w:w="100" w:type="dxa"/>
        <w:bottom w:w="100" w:type="dxa"/>
        <w:right w:w="100" w:type="dxa"/>
      </w:tblCellMar>
    </w:tblPr>
  </w:style>
  <w:style w:type="table" w:customStyle="1" w:styleId="21">
    <w:name w:val="21"/>
    <w:basedOn w:val="TableNormal2"/>
    <w:tblPr>
      <w:tblStyleRowBandSize w:val="1"/>
      <w:tblStyleColBandSize w:val="1"/>
      <w:tblCellMar>
        <w:top w:w="100" w:type="dxa"/>
        <w:left w:w="115" w:type="dxa"/>
        <w:bottom w:w="100" w:type="dxa"/>
        <w:right w:w="115" w:type="dxa"/>
      </w:tblCellMar>
    </w:tblPr>
  </w:style>
  <w:style w:type="table" w:customStyle="1" w:styleId="20">
    <w:name w:val="20"/>
    <w:basedOn w:val="TableNormal2"/>
    <w:tblPr>
      <w:tblStyleRowBandSize w:val="1"/>
      <w:tblStyleColBandSize w:val="1"/>
      <w:tblCellMar>
        <w:top w:w="100" w:type="dxa"/>
        <w:left w:w="115" w:type="dxa"/>
        <w:bottom w:w="100" w:type="dxa"/>
        <w:right w:w="115" w:type="dxa"/>
      </w:tblCellMar>
    </w:tblPr>
  </w:style>
  <w:style w:type="table" w:customStyle="1" w:styleId="19">
    <w:name w:val="19"/>
    <w:basedOn w:val="TableNormal2"/>
    <w:tblPr>
      <w:tblStyleRowBandSize w:val="1"/>
      <w:tblStyleColBandSize w:val="1"/>
      <w:tblCellMar>
        <w:top w:w="100" w:type="dxa"/>
        <w:left w:w="115" w:type="dxa"/>
        <w:bottom w:w="100" w:type="dxa"/>
        <w:right w:w="115" w:type="dxa"/>
      </w:tblCellMar>
    </w:tblPr>
  </w:style>
  <w:style w:type="table" w:customStyle="1" w:styleId="18">
    <w:name w:val="18"/>
    <w:basedOn w:val="TableNormal2"/>
    <w:tblPr>
      <w:tblStyleRowBandSize w:val="1"/>
      <w:tblStyleColBandSize w:val="1"/>
      <w:tblCellMar>
        <w:top w:w="100" w:type="dxa"/>
        <w:left w:w="115" w:type="dxa"/>
        <w:bottom w:w="100" w:type="dxa"/>
        <w:right w:w="115" w:type="dxa"/>
      </w:tblCellMar>
    </w:tblPr>
  </w:style>
  <w:style w:type="table" w:customStyle="1" w:styleId="17">
    <w:name w:val="17"/>
    <w:basedOn w:val="TableNormal2"/>
    <w:tblPr>
      <w:tblStyleRowBandSize w:val="1"/>
      <w:tblStyleColBandSize w:val="1"/>
      <w:tblCellMar>
        <w:top w:w="100" w:type="dxa"/>
        <w:left w:w="115" w:type="dxa"/>
        <w:bottom w:w="100" w:type="dxa"/>
        <w:right w:w="115" w:type="dxa"/>
      </w:tblCellMar>
    </w:tblPr>
  </w:style>
  <w:style w:type="table" w:customStyle="1" w:styleId="16">
    <w:name w:val="16"/>
    <w:basedOn w:val="TableNormal3"/>
    <w:tblPr>
      <w:tblStyleRowBandSize w:val="1"/>
      <w:tblStyleColBandSize w:val="1"/>
      <w:tblCellMar>
        <w:top w:w="100" w:type="dxa"/>
        <w:left w:w="115" w:type="dxa"/>
        <w:bottom w:w="100" w:type="dxa"/>
        <w:right w:w="115" w:type="dxa"/>
      </w:tblCellMar>
    </w:tblPr>
  </w:style>
  <w:style w:type="table" w:customStyle="1" w:styleId="15">
    <w:name w:val="15"/>
    <w:basedOn w:val="TableNormal3"/>
    <w:tblPr>
      <w:tblStyleRowBandSize w:val="1"/>
      <w:tblStyleColBandSize w:val="1"/>
      <w:tblCellMar>
        <w:top w:w="100" w:type="dxa"/>
        <w:left w:w="115" w:type="dxa"/>
        <w:bottom w:w="100" w:type="dxa"/>
        <w:right w:w="115" w:type="dxa"/>
      </w:tblCellMar>
    </w:tblPr>
  </w:style>
  <w:style w:type="table" w:customStyle="1" w:styleId="14">
    <w:name w:val="14"/>
    <w:basedOn w:val="TableNormal3"/>
    <w:tblPr>
      <w:tblStyleRowBandSize w:val="1"/>
      <w:tblStyleColBandSize w:val="1"/>
      <w:tblCellMar>
        <w:top w:w="100" w:type="dxa"/>
        <w:left w:w="115" w:type="dxa"/>
        <w:bottom w:w="100" w:type="dxa"/>
        <w:right w:w="115" w:type="dxa"/>
      </w:tblCellMar>
    </w:tblPr>
  </w:style>
  <w:style w:type="table" w:customStyle="1" w:styleId="13">
    <w:name w:val="13"/>
    <w:basedOn w:val="TableNormal3"/>
    <w:tblPr>
      <w:tblStyleRowBandSize w:val="1"/>
      <w:tblStyleColBandSize w:val="1"/>
      <w:tblCellMar>
        <w:top w:w="100" w:type="dxa"/>
        <w:left w:w="115" w:type="dxa"/>
        <w:bottom w:w="100" w:type="dxa"/>
        <w:right w:w="115" w:type="dxa"/>
      </w:tblCellMar>
    </w:tblPr>
  </w:style>
  <w:style w:type="table" w:customStyle="1" w:styleId="12">
    <w:name w:val="12"/>
    <w:basedOn w:val="TableNormal3"/>
    <w:tblPr>
      <w:tblStyleRowBandSize w:val="1"/>
      <w:tblStyleColBandSize w:val="1"/>
      <w:tblCellMar>
        <w:top w:w="100" w:type="dxa"/>
        <w:left w:w="115" w:type="dxa"/>
        <w:bottom w:w="100" w:type="dxa"/>
        <w:right w:w="115" w:type="dxa"/>
      </w:tblCellMar>
    </w:tblPr>
  </w:style>
  <w:style w:type="table" w:customStyle="1" w:styleId="11">
    <w:name w:val="11"/>
    <w:basedOn w:val="TableNormal3"/>
    <w:tblPr>
      <w:tblStyleRowBandSize w:val="1"/>
      <w:tblStyleColBandSize w:val="1"/>
      <w:tblCellMar>
        <w:top w:w="100" w:type="dxa"/>
        <w:left w:w="115" w:type="dxa"/>
        <w:bottom w:w="100" w:type="dxa"/>
        <w:right w:w="115" w:type="dxa"/>
      </w:tblCellMar>
    </w:tblPr>
  </w:style>
  <w:style w:type="table" w:customStyle="1" w:styleId="10">
    <w:name w:val="10"/>
    <w:basedOn w:val="TableNormal3"/>
    <w:tblPr>
      <w:tblStyleRowBandSize w:val="1"/>
      <w:tblStyleColBandSize w:val="1"/>
      <w:tblCellMar>
        <w:top w:w="100" w:type="dxa"/>
        <w:left w:w="115" w:type="dxa"/>
        <w:bottom w:w="100" w:type="dxa"/>
        <w:right w:w="115" w:type="dxa"/>
      </w:tblCellMar>
    </w:tblPr>
  </w:style>
  <w:style w:type="table" w:customStyle="1" w:styleId="9">
    <w:name w:val="9"/>
    <w:basedOn w:val="TableNormal3"/>
    <w:tblPr>
      <w:tblStyleRowBandSize w:val="1"/>
      <w:tblStyleColBandSize w:val="1"/>
      <w:tblCellMar>
        <w:top w:w="100" w:type="dxa"/>
        <w:left w:w="115" w:type="dxa"/>
        <w:bottom w:w="100" w:type="dxa"/>
        <w:right w:w="115" w:type="dxa"/>
      </w:tblCellMar>
    </w:tblPr>
  </w:style>
  <w:style w:type="table" w:customStyle="1" w:styleId="8">
    <w:name w:val="8"/>
    <w:basedOn w:val="TableNormal3"/>
    <w:tblPr>
      <w:tblStyleRowBandSize w:val="1"/>
      <w:tblStyleColBandSize w:val="1"/>
      <w:tblCellMar>
        <w:top w:w="100" w:type="dxa"/>
        <w:left w:w="115" w:type="dxa"/>
        <w:bottom w:w="100" w:type="dxa"/>
        <w:right w:w="115" w:type="dxa"/>
      </w:tblCellMar>
    </w:tblPr>
  </w:style>
  <w:style w:type="table" w:customStyle="1" w:styleId="7">
    <w:name w:val="7"/>
    <w:basedOn w:val="TableNormal3"/>
    <w:tblPr>
      <w:tblStyleRowBandSize w:val="1"/>
      <w:tblStyleColBandSize w:val="1"/>
      <w:tblCellMar>
        <w:top w:w="100" w:type="dxa"/>
        <w:left w:w="115" w:type="dxa"/>
        <w:bottom w:w="100" w:type="dxa"/>
        <w:right w:w="115" w:type="dxa"/>
      </w:tblCellMar>
    </w:tblPr>
  </w:style>
  <w:style w:type="table" w:customStyle="1" w:styleId="6">
    <w:name w:val="6"/>
    <w:basedOn w:val="TableNormal3"/>
    <w:tblPr>
      <w:tblStyleRowBandSize w:val="1"/>
      <w:tblStyleColBandSize w:val="1"/>
      <w:tblCellMar>
        <w:top w:w="100" w:type="dxa"/>
        <w:left w:w="115" w:type="dxa"/>
        <w:bottom w:w="100" w:type="dxa"/>
        <w:right w:w="115" w:type="dxa"/>
      </w:tblCellMar>
    </w:tblPr>
  </w:style>
  <w:style w:type="table" w:customStyle="1" w:styleId="5">
    <w:name w:val="5"/>
    <w:basedOn w:val="TableNormal3"/>
    <w:tblPr>
      <w:tblStyleRowBandSize w:val="1"/>
      <w:tblStyleColBandSize w:val="1"/>
      <w:tblCellMar>
        <w:top w:w="100" w:type="dxa"/>
        <w:left w:w="115" w:type="dxa"/>
        <w:bottom w:w="100" w:type="dxa"/>
        <w:right w:w="115" w:type="dxa"/>
      </w:tblCellMar>
    </w:tblPr>
  </w:style>
  <w:style w:type="table" w:customStyle="1" w:styleId="4">
    <w:name w:val="4"/>
    <w:basedOn w:val="TableNormal3"/>
    <w:tblPr>
      <w:tblStyleRowBandSize w:val="1"/>
      <w:tblStyleColBandSize w:val="1"/>
      <w:tblCellMar>
        <w:top w:w="100" w:type="dxa"/>
        <w:left w:w="115" w:type="dxa"/>
        <w:bottom w:w="100" w:type="dxa"/>
        <w:right w:w="115" w:type="dxa"/>
      </w:tblCellMar>
    </w:tblPr>
  </w:style>
  <w:style w:type="table" w:customStyle="1" w:styleId="3">
    <w:name w:val="3"/>
    <w:basedOn w:val="TableNormal3"/>
    <w:tblPr>
      <w:tblStyleRowBandSize w:val="1"/>
      <w:tblStyleColBandSize w:val="1"/>
      <w:tblCellMar>
        <w:top w:w="100" w:type="dxa"/>
        <w:left w:w="115" w:type="dxa"/>
        <w:bottom w:w="100" w:type="dxa"/>
        <w:right w:w="115" w:type="dxa"/>
      </w:tblCellMar>
    </w:tblPr>
  </w:style>
  <w:style w:type="table" w:customStyle="1" w:styleId="2">
    <w:name w:val="2"/>
    <w:basedOn w:val="TableNormal3"/>
    <w:tblPr>
      <w:tblStyleRowBandSize w:val="1"/>
      <w:tblStyleColBandSize w:val="1"/>
      <w:tblCellMar>
        <w:top w:w="100" w:type="dxa"/>
        <w:left w:w="115" w:type="dxa"/>
        <w:bottom w:w="100" w:type="dxa"/>
        <w:right w:w="115" w:type="dxa"/>
      </w:tblCellMar>
    </w:tblPr>
  </w:style>
  <w:style w:type="table" w:customStyle="1" w:styleId="1">
    <w:name w:val="1"/>
    <w:basedOn w:val="TableNormal3"/>
    <w:tblPr>
      <w:tblStyleRowBandSize w:val="1"/>
      <w:tblStyleColBandSize w:val="1"/>
      <w:tblCellMar>
        <w:top w:w="100" w:type="dxa"/>
        <w:left w:w="115" w:type="dxa"/>
        <w:bottom w:w="100" w:type="dxa"/>
        <w:right w:w="115" w:type="dxa"/>
      </w:tblCellMar>
    </w:tblPr>
  </w:style>
  <w:style w:type="table" w:styleId="Tablaconcuadrcula">
    <w:name w:val="Table Grid"/>
    <w:basedOn w:val="Tablanormal"/>
    <w:uiPriority w:val="39"/>
    <w:rsid w:val="00701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944A8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381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inegi.org.mx/programas/cntaippdpe/2020/" TargetMode="External"/><Relationship Id="rId39" Type="http://schemas.openxmlformats.org/officeDocument/2006/relationships/hyperlink" Target="https://www.inegi.org.mx/programas/cntaippdpf/2020/" TargetMode="External"/><Relationship Id="rId21" Type="http://schemas.openxmlformats.org/officeDocument/2006/relationships/hyperlink" Target="https://micrositios.inai.org.mx/plandai" TargetMode="External"/><Relationship Id="rId34" Type="http://schemas.openxmlformats.org/officeDocument/2006/relationships/hyperlink" Target="https://micrositios.inai.org.mx/gobiernoabierto/?page_id=5765" TargetMode="External"/><Relationship Id="rId42" Type="http://schemas.openxmlformats.org/officeDocument/2006/relationships/hyperlink" Target="https://www.inegi.org.mx/programas/cntaippdpe/2020/" TargetMode="External"/><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www.inegi.org.mx/programas/cntaippdpf/2020/" TargetMode="External"/><Relationship Id="rId11" Type="http://schemas.openxmlformats.org/officeDocument/2006/relationships/image" Target="media/image3.png"/><Relationship Id="rId24" Type="http://schemas.openxmlformats.org/officeDocument/2006/relationships/hyperlink" Target="https://datos.covid-19.conacyt.mx/" TargetMode="External"/><Relationship Id="rId32" Type="http://schemas.openxmlformats.org/officeDocument/2006/relationships/hyperlink" Target="https://www.inegi.org.mx/programas/cntaippdpe/2020/" TargetMode="External"/><Relationship Id="rId37" Type="http://schemas.openxmlformats.org/officeDocument/2006/relationships/hyperlink" Target="https://www.inegi.org.mx/programas/cntaippdpf/2020/" TargetMode="External"/><Relationship Id="rId40" Type="http://schemas.openxmlformats.org/officeDocument/2006/relationships/hyperlink" Target="https://www.inegi.org.mx/programas/cntaippdpe/2020/" TargetMode="External"/><Relationship Id="rId45" Type="http://schemas.openxmlformats.org/officeDocument/2006/relationships/hyperlink" Target="https://www.inegi.org.mx/programas/cntaippdpf/2020/"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inegi.org.mx/programas/cntaippdpf/2020/" TargetMode="External"/><Relationship Id="rId44" Type="http://schemas.openxmlformats.org/officeDocument/2006/relationships/hyperlink" Target="https://www.inegi.org.mx/programas/cntaippdpe/2020/"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hyperlink" Target="https://www.inegi.org.mx/programas/cntaippdpe/2020/" TargetMode="External"/><Relationship Id="rId35" Type="http://schemas.openxmlformats.org/officeDocument/2006/relationships/image" Target="media/image17.png"/><Relationship Id="rId43" Type="http://schemas.openxmlformats.org/officeDocument/2006/relationships/hyperlink" Target="https://www.inegi.org.mx/programas/cntaippdpf/2020/"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6.png"/><Relationship Id="rId38" Type="http://schemas.openxmlformats.org/officeDocument/2006/relationships/hyperlink" Target="https://www.inegi.org.mx/programas/cntaippdpe/2020/" TargetMode="External"/><Relationship Id="rId46" Type="http://schemas.openxmlformats.org/officeDocument/2006/relationships/hyperlink" Target="https://www.inegi.org.mx/programas/cntaippdpe/2020/" TargetMode="External"/><Relationship Id="rId20" Type="http://schemas.openxmlformats.org/officeDocument/2006/relationships/image" Target="media/image12.png"/><Relationship Id="rId41" Type="http://schemas.openxmlformats.org/officeDocument/2006/relationships/hyperlink" Target="https://www.inegi.org.mx/programas/cntaippdpf/2020/" TargetMode="Externa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atamexico.org/" TargetMode="External"/><Relationship Id="rId28" Type="http://schemas.openxmlformats.org/officeDocument/2006/relationships/hyperlink" Target="https://micrositios.inai.org.mx/gobiernoabierto/?page_id=5765" TargetMode="External"/><Relationship Id="rId36" Type="http://schemas.openxmlformats.org/officeDocument/2006/relationships/hyperlink" Target="https://micrositios.inai.org.mx/gobiernoabierto/?page_id=5765" TargetMode="External"/><Relationship Id="rId49"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snf.org.mx/intosaint.aspx" TargetMode="External"/><Relationship Id="rId3" Type="http://schemas.openxmlformats.org/officeDocument/2006/relationships/hyperlink" Target="https://www.sesna.gob.mx/politica-nacional-anticorrupcion/" TargetMode="External"/><Relationship Id="rId7" Type="http://schemas.openxmlformats.org/officeDocument/2006/relationships/hyperlink" Target="https://barometrolac.org/ilda-edicion/informe/" TargetMode="External"/><Relationship Id="rId2" Type="http://schemas.openxmlformats.org/officeDocument/2006/relationships/hyperlink" Target="http://www.dof.gob.mx/nota_detalle.php?codigo=5565599&amp;fecha=12/07/2019" TargetMode="External"/><Relationship Id="rId1" Type="http://schemas.openxmlformats.org/officeDocument/2006/relationships/hyperlink" Target="https://www.un.org/sustainabledevelopment/es/peace-justice/" TargetMode="External"/><Relationship Id="rId6" Type="http://schemas.openxmlformats.org/officeDocument/2006/relationships/hyperlink" Target="https://biblioguias.cepal.org/EstadoAbierto/ConceptoEstadoAbierto" TargetMode="External"/><Relationship Id="rId11" Type="http://schemas.openxmlformats.org/officeDocument/2006/relationships/hyperlink" Target="https://www.inegi.org.mx/programas/cntaippdpf/" TargetMode="External"/><Relationship Id="rId5" Type="http://schemas.openxmlformats.org/officeDocument/2006/relationships/hyperlink" Target="https://www.inegi.org.mx/programas/cntaippdpf/2017/" TargetMode="External"/><Relationship Id="rId10" Type="http://schemas.openxmlformats.org/officeDocument/2006/relationships/hyperlink" Target="https://enogdai.org/" TargetMode="External"/><Relationship Id="rId4" Type="http://schemas.openxmlformats.org/officeDocument/2006/relationships/hyperlink" Target="https://micrositios.inai.org.mx/gobiernoabierto/?page_id=5765" TargetMode="External"/><Relationship Id="rId9" Type="http://schemas.openxmlformats.org/officeDocument/2006/relationships/hyperlink" Target="https://enogda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VAQUhCildlBFXozpCcVvUSTd7Q==">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1C6999-BE08-4384-A15E-8B738D808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1838</TotalTime>
  <Pages>151</Pages>
  <Words>35211</Words>
  <Characters>193666</Characters>
  <Application>Microsoft Office Word</Application>
  <DocSecurity>0</DocSecurity>
  <Lines>1613</Lines>
  <Paragraphs>456</Paragraphs>
  <ScaleCrop>false</ScaleCrop>
  <HeadingPairs>
    <vt:vector size="2" baseType="variant">
      <vt:variant>
        <vt:lpstr>Título</vt:lpstr>
      </vt:variant>
      <vt:variant>
        <vt:i4>1</vt:i4>
      </vt:variant>
    </vt:vector>
  </HeadingPairs>
  <TitlesOfParts>
    <vt:vector size="1" baseType="lpstr">
      <vt:lpstr/>
    </vt:vector>
  </TitlesOfParts>
  <Company>INAI</Company>
  <LinksUpToDate>false</LinksUpToDate>
  <CharactersWithSpaces>228421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Arlem Ninoska López Alvarado;Federico Guzmán Tamayo</dc:creator>
  <cp:keywords/>
  <dc:description/>
  <cp:lastModifiedBy>DGTSNSNT</cp:lastModifiedBy>
  <cp:revision>6</cp:revision>
  <cp:lastPrinted>2022-04-28T20:13:00Z</cp:lastPrinted>
  <dcterms:created xsi:type="dcterms:W3CDTF">2022-04-28T19:23:00Z</dcterms:created>
  <dcterms:modified xsi:type="dcterms:W3CDTF">2022-05-27T19:27:00Z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2020-11-19T00:00:00Z</vt:filetime>
  </property>
  <property fmtid="{D5CDD505-2E9C-101B-9397-08002B2CF9AE}" pid="3" name="Creator">
    <vt:lpwstr>Adobe Acrobat Pro 9.0.0</vt:lpwstr>
  </property>
  <property fmtid="{D5CDD505-2E9C-101B-9397-08002B2CF9AE}" pid="4" name="LastSaved">
    <vt:filetime>2021-06-28T00:00:00Z</vt:filetime>
  </property>
</Properties>
</file>